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A4F5" w14:textId="77777777" w:rsidR="00022551" w:rsidRPr="00CC33F5" w:rsidRDefault="00005472">
      <w:pPr>
        <w:widowControl w:val="0"/>
        <w:autoSpaceDE w:val="0"/>
        <w:autoSpaceDN w:val="0"/>
        <w:adjustRightInd w:val="0"/>
        <w:spacing w:after="0" w:line="240" w:lineRule="auto"/>
        <w:rPr>
          <w:rFonts w:ascii="Times New Roman" w:hAnsi="Times New Roman"/>
          <w:sz w:val="24"/>
          <w:szCs w:val="24"/>
        </w:rPr>
      </w:pPr>
      <w:r w:rsidRPr="00CC33F5">
        <w:rPr>
          <w:rFonts w:ascii="Times New Roman" w:hAnsi="Times New Roman"/>
          <w:noProof/>
        </w:rPr>
        <w:drawing>
          <wp:anchor distT="0" distB="0" distL="114300" distR="114300" simplePos="0" relativeHeight="251659264" behindDoc="1" locked="0" layoutInCell="1" allowOverlap="1" wp14:anchorId="4D4A2056" wp14:editId="2FC76B9E">
            <wp:simplePos x="0" y="0"/>
            <wp:positionH relativeFrom="page">
              <wp:posOffset>720090</wp:posOffset>
            </wp:positionH>
            <wp:positionV relativeFrom="page">
              <wp:posOffset>360045</wp:posOffset>
            </wp:positionV>
            <wp:extent cx="3600450" cy="723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F279D" w14:textId="77777777" w:rsidR="00022551" w:rsidRPr="00CC33F5" w:rsidRDefault="00022551">
      <w:pPr>
        <w:widowControl w:val="0"/>
        <w:autoSpaceDE w:val="0"/>
        <w:autoSpaceDN w:val="0"/>
        <w:adjustRightInd w:val="0"/>
        <w:spacing w:after="0" w:line="240" w:lineRule="auto"/>
        <w:jc w:val="center"/>
        <w:rPr>
          <w:rFonts w:ascii="Times New Roman" w:hAnsi="Times New Roman"/>
          <w:sz w:val="24"/>
          <w:szCs w:val="24"/>
        </w:rPr>
      </w:pPr>
    </w:p>
    <w:p w14:paraId="33EF9F5B" w14:textId="77777777" w:rsidR="00022551" w:rsidRPr="00CC33F5" w:rsidRDefault="00022551">
      <w:pPr>
        <w:widowControl w:val="0"/>
        <w:autoSpaceDE w:val="0"/>
        <w:autoSpaceDN w:val="0"/>
        <w:adjustRightInd w:val="0"/>
        <w:spacing w:after="0" w:line="240" w:lineRule="auto"/>
        <w:jc w:val="center"/>
        <w:rPr>
          <w:rFonts w:ascii="Times New Roman" w:hAnsi="Times New Roman"/>
          <w:sz w:val="24"/>
          <w:szCs w:val="24"/>
        </w:rPr>
      </w:pPr>
    </w:p>
    <w:p w14:paraId="0AC1406D" w14:textId="77777777" w:rsidR="00005472" w:rsidRPr="00CC33F5" w:rsidRDefault="00005472">
      <w:pPr>
        <w:widowControl w:val="0"/>
        <w:autoSpaceDE w:val="0"/>
        <w:autoSpaceDN w:val="0"/>
        <w:adjustRightInd w:val="0"/>
        <w:spacing w:after="0" w:line="240" w:lineRule="auto"/>
        <w:jc w:val="center"/>
        <w:rPr>
          <w:rFonts w:ascii="Times New Roman" w:hAnsi="Times New Roman"/>
          <w:b/>
          <w:bCs/>
          <w:sz w:val="24"/>
          <w:szCs w:val="24"/>
        </w:rPr>
      </w:pPr>
    </w:p>
    <w:p w14:paraId="32D14B53" w14:textId="5234ECB4" w:rsidR="00F42BA5" w:rsidRDefault="00E11097" w:rsidP="00F42BA5">
      <w:pPr>
        <w:widowControl w:val="0"/>
        <w:autoSpaceDE w:val="0"/>
        <w:autoSpaceDN w:val="0"/>
        <w:adjustRightInd w:val="0"/>
        <w:spacing w:after="0" w:line="240" w:lineRule="auto"/>
        <w:jc w:val="center"/>
        <w:rPr>
          <w:rFonts w:ascii="Times New Roman" w:hAnsi="Times New Roman"/>
          <w:b/>
          <w:bCs/>
          <w:sz w:val="24"/>
          <w:szCs w:val="24"/>
        </w:rPr>
      </w:pPr>
      <w:r w:rsidRPr="00CC33F5">
        <w:rPr>
          <w:rFonts w:ascii="Times New Roman" w:hAnsi="Times New Roman"/>
          <w:b/>
          <w:bCs/>
          <w:sz w:val="24"/>
          <w:szCs w:val="24"/>
        </w:rPr>
        <w:t>PORTARIA Nº</w:t>
      </w:r>
      <w:r w:rsidR="008727CD" w:rsidRPr="00CC33F5">
        <w:rPr>
          <w:rFonts w:ascii="Times New Roman" w:hAnsi="Times New Roman"/>
          <w:b/>
          <w:bCs/>
          <w:sz w:val="24"/>
          <w:szCs w:val="24"/>
        </w:rPr>
        <w:t xml:space="preserve"> </w:t>
      </w:r>
      <w:r w:rsidR="00A84613">
        <w:rPr>
          <w:rFonts w:ascii="Times New Roman" w:hAnsi="Times New Roman"/>
          <w:b/>
          <w:bCs/>
          <w:sz w:val="24"/>
          <w:szCs w:val="24"/>
        </w:rPr>
        <w:t>5</w:t>
      </w:r>
      <w:r w:rsidR="00DF738A">
        <w:rPr>
          <w:rFonts w:ascii="Times New Roman" w:hAnsi="Times New Roman"/>
          <w:b/>
          <w:bCs/>
          <w:sz w:val="24"/>
          <w:szCs w:val="24"/>
        </w:rPr>
        <w:t>.</w:t>
      </w:r>
      <w:r w:rsidR="00A84613">
        <w:rPr>
          <w:rFonts w:ascii="Times New Roman" w:hAnsi="Times New Roman"/>
          <w:b/>
          <w:bCs/>
          <w:sz w:val="24"/>
          <w:szCs w:val="24"/>
        </w:rPr>
        <w:t>654</w:t>
      </w:r>
      <w:r w:rsidR="00DF738A">
        <w:rPr>
          <w:rFonts w:ascii="Times New Roman" w:hAnsi="Times New Roman"/>
          <w:b/>
          <w:bCs/>
          <w:sz w:val="24"/>
          <w:szCs w:val="24"/>
        </w:rPr>
        <w:t>/SRA</w:t>
      </w:r>
      <w:r w:rsidRPr="00CC33F5">
        <w:rPr>
          <w:rFonts w:ascii="Times New Roman" w:hAnsi="Times New Roman"/>
          <w:b/>
          <w:bCs/>
          <w:sz w:val="24"/>
          <w:szCs w:val="24"/>
        </w:rPr>
        <w:t xml:space="preserve">, DE </w:t>
      </w:r>
      <w:r w:rsidR="00A84613">
        <w:rPr>
          <w:rFonts w:ascii="Times New Roman" w:hAnsi="Times New Roman"/>
          <w:b/>
          <w:bCs/>
          <w:sz w:val="24"/>
          <w:szCs w:val="24"/>
        </w:rPr>
        <w:t>10</w:t>
      </w:r>
      <w:r w:rsidRPr="00CC33F5">
        <w:rPr>
          <w:rFonts w:ascii="Times New Roman" w:hAnsi="Times New Roman"/>
          <w:b/>
          <w:bCs/>
          <w:sz w:val="24"/>
          <w:szCs w:val="24"/>
        </w:rPr>
        <w:t xml:space="preserve"> DE </w:t>
      </w:r>
      <w:r w:rsidR="00F42BA5" w:rsidRPr="00CC33F5">
        <w:rPr>
          <w:rFonts w:ascii="Times New Roman" w:hAnsi="Times New Roman"/>
          <w:b/>
          <w:bCs/>
          <w:sz w:val="24"/>
          <w:szCs w:val="24"/>
        </w:rPr>
        <w:t>AGOSTO</w:t>
      </w:r>
      <w:r w:rsidRPr="00CC33F5">
        <w:rPr>
          <w:rFonts w:ascii="Times New Roman" w:hAnsi="Times New Roman"/>
          <w:b/>
          <w:bCs/>
          <w:sz w:val="24"/>
          <w:szCs w:val="24"/>
        </w:rPr>
        <w:t xml:space="preserve"> DE 20</w:t>
      </w:r>
      <w:r w:rsidR="0064010E" w:rsidRPr="00CC33F5">
        <w:rPr>
          <w:rFonts w:ascii="Times New Roman" w:hAnsi="Times New Roman"/>
          <w:b/>
          <w:bCs/>
          <w:sz w:val="24"/>
          <w:szCs w:val="24"/>
        </w:rPr>
        <w:t>2</w:t>
      </w:r>
      <w:r w:rsidR="000B4FBF" w:rsidRPr="00CC33F5">
        <w:rPr>
          <w:rFonts w:ascii="Times New Roman" w:hAnsi="Times New Roman"/>
          <w:b/>
          <w:bCs/>
          <w:sz w:val="24"/>
          <w:szCs w:val="24"/>
        </w:rPr>
        <w:t>1</w:t>
      </w:r>
    </w:p>
    <w:p w14:paraId="761C6226" w14:textId="651FE76F" w:rsidR="00CC33F5" w:rsidRDefault="00CC33F5" w:rsidP="001D51FA">
      <w:pPr>
        <w:widowControl w:val="0"/>
        <w:autoSpaceDE w:val="0"/>
        <w:autoSpaceDN w:val="0"/>
        <w:adjustRightInd w:val="0"/>
        <w:spacing w:after="0" w:line="240" w:lineRule="auto"/>
        <w:rPr>
          <w:rFonts w:ascii="Times New Roman" w:hAnsi="Times New Roman"/>
          <w:b/>
          <w:bCs/>
          <w:sz w:val="24"/>
          <w:szCs w:val="24"/>
        </w:rPr>
      </w:pPr>
    </w:p>
    <w:p w14:paraId="3A5FCF17" w14:textId="77777777" w:rsidR="00A84613" w:rsidRPr="00A84613" w:rsidRDefault="00A84613" w:rsidP="00A84613">
      <w:pPr>
        <w:widowControl w:val="0"/>
        <w:autoSpaceDE w:val="0"/>
        <w:autoSpaceDN w:val="0"/>
        <w:adjustRightInd w:val="0"/>
        <w:spacing w:after="0" w:line="240" w:lineRule="auto"/>
        <w:ind w:left="5103"/>
        <w:jc w:val="both"/>
        <w:rPr>
          <w:rFonts w:ascii="Times New Roman" w:hAnsi="Times New Roman"/>
          <w:bCs/>
          <w:sz w:val="24"/>
          <w:szCs w:val="24"/>
        </w:rPr>
      </w:pPr>
      <w:r w:rsidRPr="00A84613">
        <w:rPr>
          <w:rFonts w:ascii="Times New Roman" w:hAnsi="Times New Roman"/>
          <w:bCs/>
          <w:sz w:val="24"/>
          <w:szCs w:val="24"/>
        </w:rPr>
        <w:t>Reajusta os tetos das tarifas aeroportuárias aplicáveis ao Contrato de Concessão do Aeroporto Internacional de Fortaleza – Pinto Martins, localizado no Município de Fortaleza/CE.</w:t>
      </w:r>
    </w:p>
    <w:p w14:paraId="08988185" w14:textId="77777777" w:rsidR="00A84613" w:rsidRPr="00A84613" w:rsidRDefault="00A84613" w:rsidP="00A84613">
      <w:pPr>
        <w:widowControl w:val="0"/>
        <w:autoSpaceDE w:val="0"/>
        <w:autoSpaceDN w:val="0"/>
        <w:adjustRightInd w:val="0"/>
        <w:spacing w:after="0" w:line="240" w:lineRule="auto"/>
        <w:rPr>
          <w:rFonts w:ascii="Times New Roman" w:hAnsi="Times New Roman"/>
          <w:b/>
          <w:bCs/>
          <w:sz w:val="24"/>
          <w:szCs w:val="24"/>
        </w:rPr>
      </w:pPr>
    </w:p>
    <w:p w14:paraId="5DAD8ED3"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
          <w:bCs/>
          <w:sz w:val="24"/>
          <w:szCs w:val="24"/>
        </w:rPr>
        <w:t>O SUPERINTENDENTE DE REGULAÇÃO ECONÔMICA DE AEROPORTOS</w:t>
      </w:r>
      <w:r w:rsidRPr="00A84613">
        <w:rPr>
          <w:rFonts w:ascii="Times New Roman" w:hAnsi="Times New Roman"/>
          <w:bCs/>
          <w:sz w:val="24"/>
          <w:szCs w:val="24"/>
        </w:rPr>
        <w:t>, no uso da atribuição que lhe confere o art. 41, inciso X, do Regimento Interno aprovado pela Resolução nº 381, de 14 de junho de 2016, tendo em vista o disposto no Contrato de Concessão,</w:t>
      </w:r>
    </w:p>
    <w:p w14:paraId="664D27B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38FA7DD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Considerando os critérios de reajuste dos tetos tarifários e de publicação dos valores das tarifas aeroportuárias descritos, respectivamente, nas cláusulas 6.5 e 3.1.25 do Contrato de Concessão de Aeroporto - CCA nº 004/ANAC/2017 - SBFZ, referente à concessão dos serviços públicos para a ampliação, manutenção e exploração da infraestrutura aeroportuária do Aeroporto Internacional de Fortaleza – Pinto Martins, localizado no Município de Fortaleza/CE;</w:t>
      </w:r>
    </w:p>
    <w:p w14:paraId="7CBB58F4"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3A508865"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Considerando a Memória de Cálculo do Reajuste Tarifário de 2021 do Aeroporto Internacional de Fortaleza anexa a esta Portaria, que indica um reajuste de 8,3471% sobre os tetos das tarifários constantes das Tabelas 1, 1-A, 2, 3, 4 e 5 da Portaria nº 2.074, de 17 de agosto de 2020, e em um reajuste também de 8,3471% sobre os tetos constantes das Tabelas 7, 8, 9 e 11 da mesma Portaria; e</w:t>
      </w:r>
    </w:p>
    <w:p w14:paraId="3E8D58F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4F9BDAF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Considerando o que consta do processo nº 00058.042955/2021-10,</w:t>
      </w:r>
    </w:p>
    <w:p w14:paraId="292D307F"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
          <w:bCs/>
          <w:sz w:val="24"/>
          <w:szCs w:val="24"/>
        </w:rPr>
      </w:pPr>
    </w:p>
    <w:p w14:paraId="45AA3308" w14:textId="5369A974"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
          <w:bCs/>
          <w:sz w:val="24"/>
          <w:szCs w:val="24"/>
        </w:rPr>
      </w:pPr>
      <w:r w:rsidRPr="00A84613">
        <w:rPr>
          <w:rFonts w:ascii="Times New Roman" w:hAnsi="Times New Roman"/>
          <w:b/>
          <w:bCs/>
          <w:sz w:val="24"/>
          <w:szCs w:val="24"/>
        </w:rPr>
        <w:t>RESOLVE:</w:t>
      </w:r>
    </w:p>
    <w:p w14:paraId="2D748AE8"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
          <w:bCs/>
          <w:sz w:val="24"/>
          <w:szCs w:val="24"/>
        </w:rPr>
      </w:pPr>
    </w:p>
    <w:p w14:paraId="6B01A751"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Art. 1º Reajustar os tetos das tarifas aeroportuárias de embarque, conexão, pouso, permanência, armazenagem e capatazia previstas no Anexo 4 do Contrato de Concessão de Aeroporto - CCA nº 004/ANAC/2017 - SBFZ.</w:t>
      </w:r>
    </w:p>
    <w:p w14:paraId="397CC1B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02215E7C"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Parágrafo único. As tabelas a seguir dispostas substituem as constantes na Portaria nº 2.074, de 17 de agosto de 2020, passando a vigorar com os seguintes valores:</w:t>
      </w:r>
    </w:p>
    <w:p w14:paraId="553260F6"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13FE7B19" w14:textId="610F85F0" w:rsidR="00A84613" w:rsidRPr="00DF738A"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DF738A">
        <w:rPr>
          <w:rFonts w:ascii="Times New Roman" w:hAnsi="Times New Roman"/>
          <w:b/>
          <w:bCs/>
          <w:sz w:val="24"/>
          <w:szCs w:val="24"/>
        </w:rPr>
        <w:t>Tabela 1 - Tarifa de Embarque do Grupo I</w:t>
      </w:r>
    </w:p>
    <w:p w14:paraId="2B923E5A" w14:textId="77777777" w:rsidR="00DF738A"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2498"/>
        <w:gridCol w:w="1977"/>
        <w:gridCol w:w="2329"/>
      </w:tblGrid>
      <w:tr w:rsidR="00A84613" w:rsidRPr="00A84613" w14:paraId="573EEEC0" w14:textId="77777777" w:rsidTr="00A84613">
        <w:trPr>
          <w:jc w:val="center"/>
        </w:trPr>
        <w:tc>
          <w:tcPr>
            <w:tcW w:w="0" w:type="auto"/>
            <w:vMerge w:val="restart"/>
            <w:hideMark/>
          </w:tcPr>
          <w:p w14:paraId="7814553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de embarque</w:t>
            </w:r>
          </w:p>
        </w:tc>
        <w:tc>
          <w:tcPr>
            <w:tcW w:w="0" w:type="auto"/>
            <w:hideMark/>
          </w:tcPr>
          <w:p w14:paraId="3F16ED6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Doméstico (R$)</w:t>
            </w:r>
          </w:p>
        </w:tc>
        <w:tc>
          <w:tcPr>
            <w:tcW w:w="0" w:type="auto"/>
            <w:hideMark/>
          </w:tcPr>
          <w:p w14:paraId="6D9DBBEA"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63CDD036" w14:textId="77777777" w:rsidTr="00A84613">
        <w:trPr>
          <w:jc w:val="center"/>
        </w:trPr>
        <w:tc>
          <w:tcPr>
            <w:tcW w:w="0" w:type="auto"/>
            <w:vMerge/>
            <w:hideMark/>
          </w:tcPr>
          <w:p w14:paraId="245A279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31ACF47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35,77</w:t>
            </w:r>
          </w:p>
        </w:tc>
        <w:tc>
          <w:tcPr>
            <w:tcW w:w="0" w:type="auto"/>
            <w:hideMark/>
          </w:tcPr>
          <w:p w14:paraId="532C413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63,34</w:t>
            </w:r>
          </w:p>
        </w:tc>
      </w:tr>
    </w:tbl>
    <w:p w14:paraId="69B99888"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101D8F59" w14:textId="246EC755"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1-A - Tarifa de Conexão</w:t>
      </w:r>
    </w:p>
    <w:p w14:paraId="48E1CA0A"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2393"/>
        <w:gridCol w:w="2025"/>
        <w:gridCol w:w="2386"/>
      </w:tblGrid>
      <w:tr w:rsidR="00A84613" w:rsidRPr="00A84613" w14:paraId="46B93994" w14:textId="77777777" w:rsidTr="00A84613">
        <w:trPr>
          <w:jc w:val="center"/>
        </w:trPr>
        <w:tc>
          <w:tcPr>
            <w:tcW w:w="0" w:type="auto"/>
            <w:vMerge w:val="restart"/>
            <w:hideMark/>
          </w:tcPr>
          <w:p w14:paraId="5910F90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de Conexão</w:t>
            </w:r>
            <w:r w:rsidRPr="00A84613">
              <w:rPr>
                <w:rFonts w:ascii="Times New Roman" w:hAnsi="Times New Roman"/>
                <w:bCs/>
                <w:sz w:val="24"/>
                <w:szCs w:val="24"/>
              </w:rPr>
              <w:br/>
              <w:t>(por passageiro)</w:t>
            </w:r>
          </w:p>
        </w:tc>
        <w:tc>
          <w:tcPr>
            <w:tcW w:w="0" w:type="auto"/>
            <w:hideMark/>
          </w:tcPr>
          <w:p w14:paraId="7B2FA95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Doméstico (R$)</w:t>
            </w:r>
          </w:p>
        </w:tc>
        <w:tc>
          <w:tcPr>
            <w:tcW w:w="0" w:type="auto"/>
            <w:hideMark/>
          </w:tcPr>
          <w:p w14:paraId="6E802FD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55B62CE0" w14:textId="77777777" w:rsidTr="00A84613">
        <w:trPr>
          <w:jc w:val="center"/>
        </w:trPr>
        <w:tc>
          <w:tcPr>
            <w:tcW w:w="0" w:type="auto"/>
            <w:vMerge/>
            <w:hideMark/>
          </w:tcPr>
          <w:p w14:paraId="4AE2CC3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79C03D1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10,94</w:t>
            </w:r>
          </w:p>
        </w:tc>
        <w:tc>
          <w:tcPr>
            <w:tcW w:w="0" w:type="auto"/>
            <w:hideMark/>
          </w:tcPr>
          <w:p w14:paraId="5EF41AD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10,94</w:t>
            </w:r>
          </w:p>
        </w:tc>
      </w:tr>
    </w:tbl>
    <w:p w14:paraId="48E482DD"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017D2AEF" w14:textId="1910CA63"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2 - Tarifa de Pouso aplicável ao Grupo I</w:t>
      </w:r>
    </w:p>
    <w:p w14:paraId="3430E8E5"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2179"/>
        <w:gridCol w:w="2123"/>
        <w:gridCol w:w="2502"/>
      </w:tblGrid>
      <w:tr w:rsidR="00A84613" w:rsidRPr="00A84613" w14:paraId="101C239E" w14:textId="77777777" w:rsidTr="00A84613">
        <w:trPr>
          <w:jc w:val="center"/>
        </w:trPr>
        <w:tc>
          <w:tcPr>
            <w:tcW w:w="0" w:type="auto"/>
            <w:vMerge w:val="restart"/>
            <w:hideMark/>
          </w:tcPr>
          <w:p w14:paraId="39E4D3B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de Pouso</w:t>
            </w:r>
            <w:r w:rsidRPr="00A84613">
              <w:rPr>
                <w:rFonts w:ascii="Times New Roman" w:hAnsi="Times New Roman"/>
                <w:bCs/>
                <w:sz w:val="24"/>
                <w:szCs w:val="24"/>
              </w:rPr>
              <w:br/>
            </w:r>
            <w:r w:rsidRPr="00A84613">
              <w:rPr>
                <w:rFonts w:ascii="Times New Roman" w:hAnsi="Times New Roman"/>
                <w:bCs/>
                <w:sz w:val="24"/>
                <w:szCs w:val="24"/>
              </w:rPr>
              <w:lastRenderedPageBreak/>
              <w:t>(Tonelada)</w:t>
            </w:r>
          </w:p>
        </w:tc>
        <w:tc>
          <w:tcPr>
            <w:tcW w:w="0" w:type="auto"/>
            <w:hideMark/>
          </w:tcPr>
          <w:p w14:paraId="1A9AD28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lastRenderedPageBreak/>
              <w:t>Doméstico (R$)</w:t>
            </w:r>
          </w:p>
        </w:tc>
        <w:tc>
          <w:tcPr>
            <w:tcW w:w="0" w:type="auto"/>
            <w:hideMark/>
          </w:tcPr>
          <w:p w14:paraId="408A2E39"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6F7A1AA4" w14:textId="77777777" w:rsidTr="00A84613">
        <w:trPr>
          <w:jc w:val="center"/>
        </w:trPr>
        <w:tc>
          <w:tcPr>
            <w:tcW w:w="0" w:type="auto"/>
            <w:vMerge/>
            <w:hideMark/>
          </w:tcPr>
          <w:p w14:paraId="228F0EE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653ACD9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11,2006</w:t>
            </w:r>
          </w:p>
        </w:tc>
        <w:tc>
          <w:tcPr>
            <w:tcW w:w="0" w:type="auto"/>
            <w:hideMark/>
          </w:tcPr>
          <w:p w14:paraId="1BED08D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29,8600</w:t>
            </w:r>
          </w:p>
        </w:tc>
      </w:tr>
    </w:tbl>
    <w:p w14:paraId="3A5CF84B"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1BAE32AF" w14:textId="5363641E"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3 - Tarifa Unificada de Embarque e Pouso aplicável ao Grupo II</w:t>
      </w:r>
    </w:p>
    <w:p w14:paraId="2704C551"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2196"/>
        <w:gridCol w:w="876"/>
        <w:gridCol w:w="1428"/>
        <w:gridCol w:w="876"/>
        <w:gridCol w:w="1428"/>
      </w:tblGrid>
      <w:tr w:rsidR="00A84613" w:rsidRPr="00A84613" w14:paraId="0A62FB60" w14:textId="77777777" w:rsidTr="00A84613">
        <w:trPr>
          <w:jc w:val="center"/>
        </w:trPr>
        <w:tc>
          <w:tcPr>
            <w:tcW w:w="0" w:type="auto"/>
            <w:vMerge w:val="restart"/>
            <w:hideMark/>
          </w:tcPr>
          <w:p w14:paraId="04DB2A7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Unificada de Embarque e Pouso</w:t>
            </w:r>
            <w:r w:rsidRPr="00A84613">
              <w:rPr>
                <w:rFonts w:ascii="Times New Roman" w:hAnsi="Times New Roman"/>
                <w:bCs/>
                <w:sz w:val="24"/>
                <w:szCs w:val="24"/>
              </w:rPr>
              <w:br/>
              <w:t>(por tonelada)</w:t>
            </w:r>
          </w:p>
        </w:tc>
        <w:tc>
          <w:tcPr>
            <w:tcW w:w="0" w:type="auto"/>
            <w:gridSpan w:val="2"/>
            <w:hideMark/>
          </w:tcPr>
          <w:p w14:paraId="66F89DE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Doméstico (R$)</w:t>
            </w:r>
          </w:p>
        </w:tc>
        <w:tc>
          <w:tcPr>
            <w:tcW w:w="0" w:type="auto"/>
            <w:gridSpan w:val="2"/>
            <w:hideMark/>
          </w:tcPr>
          <w:p w14:paraId="6ACE60C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4D26B9E6" w14:textId="77777777" w:rsidTr="00A84613">
        <w:trPr>
          <w:jc w:val="center"/>
        </w:trPr>
        <w:tc>
          <w:tcPr>
            <w:tcW w:w="0" w:type="auto"/>
            <w:vMerge/>
            <w:hideMark/>
          </w:tcPr>
          <w:p w14:paraId="12523FF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786C68A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TUF</w:t>
            </w:r>
          </w:p>
        </w:tc>
        <w:tc>
          <w:tcPr>
            <w:tcW w:w="0" w:type="auto"/>
            <w:hideMark/>
          </w:tcPr>
          <w:p w14:paraId="71F8AA6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TUV (tonelada)</w:t>
            </w:r>
          </w:p>
        </w:tc>
        <w:tc>
          <w:tcPr>
            <w:tcW w:w="0" w:type="auto"/>
            <w:hideMark/>
          </w:tcPr>
          <w:p w14:paraId="6BAE57D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TUF</w:t>
            </w:r>
          </w:p>
        </w:tc>
        <w:tc>
          <w:tcPr>
            <w:tcW w:w="0" w:type="auto"/>
            <w:hideMark/>
          </w:tcPr>
          <w:p w14:paraId="1A6C708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TUV (tonelada)</w:t>
            </w:r>
          </w:p>
        </w:tc>
      </w:tr>
      <w:tr w:rsidR="00A84613" w:rsidRPr="00A84613" w14:paraId="70F35B63" w14:textId="77777777" w:rsidTr="00A84613">
        <w:trPr>
          <w:jc w:val="center"/>
        </w:trPr>
        <w:tc>
          <w:tcPr>
            <w:tcW w:w="0" w:type="auto"/>
            <w:vMerge/>
            <w:hideMark/>
          </w:tcPr>
          <w:p w14:paraId="61B67CE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30E192CA"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183,35</w:t>
            </w:r>
          </w:p>
        </w:tc>
        <w:tc>
          <w:tcPr>
            <w:tcW w:w="0" w:type="auto"/>
            <w:hideMark/>
          </w:tcPr>
          <w:p w14:paraId="58C91B0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41,61</w:t>
            </w:r>
          </w:p>
        </w:tc>
        <w:tc>
          <w:tcPr>
            <w:tcW w:w="0" w:type="auto"/>
            <w:hideMark/>
          </w:tcPr>
          <w:p w14:paraId="361FF9D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263,88</w:t>
            </w:r>
          </w:p>
        </w:tc>
        <w:tc>
          <w:tcPr>
            <w:tcW w:w="0" w:type="auto"/>
            <w:hideMark/>
          </w:tcPr>
          <w:p w14:paraId="03BFD24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133,07</w:t>
            </w:r>
          </w:p>
        </w:tc>
      </w:tr>
    </w:tbl>
    <w:p w14:paraId="4305E47E"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541B959B" w14:textId="7D1275E9"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4 - Tarifas de Permanência aplicáveis ao Grupo I</w:t>
      </w:r>
    </w:p>
    <w:p w14:paraId="48426268"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3332"/>
        <w:gridCol w:w="1576"/>
        <w:gridCol w:w="1896"/>
      </w:tblGrid>
      <w:tr w:rsidR="00A84613" w:rsidRPr="00A84613" w14:paraId="6E000664" w14:textId="77777777" w:rsidTr="00A84613">
        <w:trPr>
          <w:jc w:val="center"/>
        </w:trPr>
        <w:tc>
          <w:tcPr>
            <w:tcW w:w="0" w:type="auto"/>
            <w:hideMark/>
          </w:tcPr>
          <w:p w14:paraId="4147415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de Permanência (por tonelada-hora)</w:t>
            </w:r>
          </w:p>
        </w:tc>
        <w:tc>
          <w:tcPr>
            <w:tcW w:w="0" w:type="auto"/>
            <w:hideMark/>
          </w:tcPr>
          <w:p w14:paraId="65A34F6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Doméstico (R$)</w:t>
            </w:r>
          </w:p>
        </w:tc>
        <w:tc>
          <w:tcPr>
            <w:tcW w:w="0" w:type="auto"/>
            <w:hideMark/>
          </w:tcPr>
          <w:p w14:paraId="4529C1E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7EB631EB" w14:textId="77777777" w:rsidTr="00A84613">
        <w:trPr>
          <w:jc w:val="center"/>
        </w:trPr>
        <w:tc>
          <w:tcPr>
            <w:tcW w:w="0" w:type="auto"/>
            <w:hideMark/>
          </w:tcPr>
          <w:p w14:paraId="12021DD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Pátio de Manobras (TPM)</w:t>
            </w:r>
          </w:p>
        </w:tc>
        <w:tc>
          <w:tcPr>
            <w:tcW w:w="0" w:type="auto"/>
            <w:hideMark/>
          </w:tcPr>
          <w:p w14:paraId="7640AB1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2,2091</w:t>
            </w:r>
          </w:p>
        </w:tc>
        <w:tc>
          <w:tcPr>
            <w:tcW w:w="0" w:type="auto"/>
            <w:hideMark/>
          </w:tcPr>
          <w:p w14:paraId="29F031E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5,9504</w:t>
            </w:r>
          </w:p>
        </w:tc>
      </w:tr>
      <w:tr w:rsidR="00A84613" w:rsidRPr="00A84613" w14:paraId="5DDC7D62" w14:textId="77777777" w:rsidTr="00A84613">
        <w:trPr>
          <w:jc w:val="center"/>
        </w:trPr>
        <w:tc>
          <w:tcPr>
            <w:tcW w:w="0" w:type="auto"/>
            <w:hideMark/>
          </w:tcPr>
          <w:p w14:paraId="2EA5F28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Pátio de Estadia (TPE)</w:t>
            </w:r>
          </w:p>
        </w:tc>
        <w:tc>
          <w:tcPr>
            <w:tcW w:w="0" w:type="auto"/>
            <w:hideMark/>
          </w:tcPr>
          <w:p w14:paraId="2F558C6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0,4734</w:t>
            </w:r>
          </w:p>
        </w:tc>
        <w:tc>
          <w:tcPr>
            <w:tcW w:w="0" w:type="auto"/>
            <w:hideMark/>
          </w:tcPr>
          <w:p w14:paraId="7FF7BB6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1,2172</w:t>
            </w:r>
          </w:p>
        </w:tc>
      </w:tr>
    </w:tbl>
    <w:p w14:paraId="6EC31042"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4C53B740" w14:textId="35C605E0"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5 - Tarifas de Permanência aplicáveis ao Grupo II</w:t>
      </w:r>
    </w:p>
    <w:p w14:paraId="08DC30E7"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1724"/>
        <w:gridCol w:w="1086"/>
        <w:gridCol w:w="1454"/>
        <w:gridCol w:w="1086"/>
        <w:gridCol w:w="1454"/>
      </w:tblGrid>
      <w:tr w:rsidR="00A84613" w:rsidRPr="00A84613" w14:paraId="1AAB6862" w14:textId="77777777" w:rsidTr="00A84613">
        <w:trPr>
          <w:jc w:val="center"/>
        </w:trPr>
        <w:tc>
          <w:tcPr>
            <w:tcW w:w="0" w:type="auto"/>
            <w:vAlign w:val="center"/>
            <w:hideMark/>
          </w:tcPr>
          <w:p w14:paraId="42A9F51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Tarifa de Permanência</w:t>
            </w:r>
            <w:r w:rsidRPr="00A84613">
              <w:rPr>
                <w:rFonts w:ascii="Times New Roman" w:hAnsi="Times New Roman"/>
                <w:bCs/>
                <w:sz w:val="24"/>
                <w:szCs w:val="24"/>
              </w:rPr>
              <w:br/>
            </w:r>
            <w:r w:rsidRPr="00A84613">
              <w:rPr>
                <w:rFonts w:ascii="Times New Roman" w:hAnsi="Times New Roman"/>
                <w:b/>
                <w:bCs/>
                <w:sz w:val="24"/>
                <w:szCs w:val="24"/>
              </w:rPr>
              <w:t>(por tonelada-hora)</w:t>
            </w:r>
          </w:p>
        </w:tc>
        <w:tc>
          <w:tcPr>
            <w:tcW w:w="0" w:type="auto"/>
            <w:gridSpan w:val="2"/>
            <w:vAlign w:val="center"/>
            <w:hideMark/>
          </w:tcPr>
          <w:p w14:paraId="0D2BF08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Doméstico (R$)</w:t>
            </w:r>
          </w:p>
        </w:tc>
        <w:tc>
          <w:tcPr>
            <w:tcW w:w="0" w:type="auto"/>
            <w:gridSpan w:val="2"/>
            <w:vAlign w:val="center"/>
            <w:hideMark/>
          </w:tcPr>
          <w:p w14:paraId="69B688C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Internacional (R$)</w:t>
            </w:r>
          </w:p>
        </w:tc>
      </w:tr>
      <w:tr w:rsidR="00A84613" w:rsidRPr="00A84613" w14:paraId="43891CF5" w14:textId="77777777" w:rsidTr="00A84613">
        <w:trPr>
          <w:jc w:val="center"/>
        </w:trPr>
        <w:tc>
          <w:tcPr>
            <w:tcW w:w="0" w:type="auto"/>
            <w:vMerge w:val="restart"/>
            <w:vAlign w:val="center"/>
            <w:hideMark/>
          </w:tcPr>
          <w:p w14:paraId="3CD042C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Pátio de Manobra (TPM)</w:t>
            </w:r>
          </w:p>
        </w:tc>
        <w:tc>
          <w:tcPr>
            <w:tcW w:w="0" w:type="auto"/>
            <w:vAlign w:val="center"/>
            <w:hideMark/>
          </w:tcPr>
          <w:p w14:paraId="1C9DC71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TPMF (hora)</w:t>
            </w:r>
          </w:p>
        </w:tc>
        <w:tc>
          <w:tcPr>
            <w:tcW w:w="0" w:type="auto"/>
            <w:vAlign w:val="center"/>
            <w:hideMark/>
          </w:tcPr>
          <w:p w14:paraId="6BEAD90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TPMV (tonelada-hora)</w:t>
            </w:r>
          </w:p>
        </w:tc>
        <w:tc>
          <w:tcPr>
            <w:tcW w:w="0" w:type="auto"/>
            <w:vAlign w:val="center"/>
            <w:hideMark/>
          </w:tcPr>
          <w:p w14:paraId="2B94B31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TPMF (hora)</w:t>
            </w:r>
          </w:p>
        </w:tc>
        <w:tc>
          <w:tcPr>
            <w:tcW w:w="0" w:type="auto"/>
            <w:vAlign w:val="center"/>
            <w:hideMark/>
          </w:tcPr>
          <w:p w14:paraId="02A65EA2"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TPMV (tonelada-hora)</w:t>
            </w:r>
          </w:p>
        </w:tc>
      </w:tr>
      <w:tr w:rsidR="00A84613" w:rsidRPr="00A84613" w14:paraId="2BEEA9E0" w14:textId="77777777" w:rsidTr="00A84613">
        <w:trPr>
          <w:jc w:val="center"/>
        </w:trPr>
        <w:tc>
          <w:tcPr>
            <w:tcW w:w="0" w:type="auto"/>
            <w:vMerge/>
            <w:vAlign w:val="center"/>
            <w:hideMark/>
          </w:tcPr>
          <w:p w14:paraId="7E28AE02"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vAlign w:val="center"/>
            <w:hideMark/>
          </w:tcPr>
          <w:p w14:paraId="79A86CB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30,3202</w:t>
            </w:r>
          </w:p>
        </w:tc>
        <w:tc>
          <w:tcPr>
            <w:tcW w:w="0" w:type="auto"/>
            <w:vAlign w:val="center"/>
            <w:hideMark/>
          </w:tcPr>
          <w:p w14:paraId="4D60DC7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1,3485</w:t>
            </w:r>
          </w:p>
        </w:tc>
        <w:tc>
          <w:tcPr>
            <w:tcW w:w="0" w:type="auto"/>
            <w:vAlign w:val="center"/>
            <w:hideMark/>
          </w:tcPr>
          <w:p w14:paraId="17F7800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43,7500</w:t>
            </w:r>
          </w:p>
        </w:tc>
        <w:tc>
          <w:tcPr>
            <w:tcW w:w="0" w:type="auto"/>
            <w:vAlign w:val="center"/>
            <w:hideMark/>
          </w:tcPr>
          <w:p w14:paraId="0CF847F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4,0676</w:t>
            </w:r>
          </w:p>
        </w:tc>
      </w:tr>
      <w:tr w:rsidR="00A84613" w:rsidRPr="00A84613" w14:paraId="027F011E" w14:textId="77777777" w:rsidTr="00A84613">
        <w:trPr>
          <w:jc w:val="center"/>
        </w:trPr>
        <w:tc>
          <w:tcPr>
            <w:tcW w:w="0" w:type="auto"/>
            <w:vMerge w:val="restart"/>
            <w:vAlign w:val="center"/>
            <w:hideMark/>
          </w:tcPr>
          <w:p w14:paraId="7DF7BE9A"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Pátio de Estadia (TPE)</w:t>
            </w:r>
          </w:p>
        </w:tc>
        <w:tc>
          <w:tcPr>
            <w:tcW w:w="0" w:type="auto"/>
            <w:vAlign w:val="center"/>
            <w:hideMark/>
          </w:tcPr>
          <w:p w14:paraId="24581E0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TPEF (hora)</w:t>
            </w:r>
          </w:p>
        </w:tc>
        <w:tc>
          <w:tcPr>
            <w:tcW w:w="0" w:type="auto"/>
            <w:vAlign w:val="center"/>
            <w:hideMark/>
          </w:tcPr>
          <w:p w14:paraId="63856ED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TPEV (tonelada-hora)</w:t>
            </w:r>
          </w:p>
        </w:tc>
        <w:tc>
          <w:tcPr>
            <w:tcW w:w="0" w:type="auto"/>
            <w:vAlign w:val="center"/>
            <w:hideMark/>
          </w:tcPr>
          <w:p w14:paraId="10F984E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TPEF (hora)</w:t>
            </w:r>
          </w:p>
        </w:tc>
        <w:tc>
          <w:tcPr>
            <w:tcW w:w="0" w:type="auto"/>
            <w:vAlign w:val="center"/>
            <w:hideMark/>
          </w:tcPr>
          <w:p w14:paraId="4F6C22C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TPEV (tonelada-hora)</w:t>
            </w:r>
          </w:p>
        </w:tc>
      </w:tr>
      <w:tr w:rsidR="00A84613" w:rsidRPr="00A84613" w14:paraId="24F62578" w14:textId="77777777" w:rsidTr="00A84613">
        <w:trPr>
          <w:jc w:val="center"/>
        </w:trPr>
        <w:tc>
          <w:tcPr>
            <w:tcW w:w="0" w:type="auto"/>
            <w:vMerge/>
            <w:vAlign w:val="center"/>
            <w:hideMark/>
          </w:tcPr>
          <w:p w14:paraId="5D5A80B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vAlign w:val="center"/>
            <w:hideMark/>
          </w:tcPr>
          <w:p w14:paraId="7407C0E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2,0016</w:t>
            </w:r>
          </w:p>
        </w:tc>
        <w:tc>
          <w:tcPr>
            <w:tcW w:w="0" w:type="auto"/>
            <w:vAlign w:val="center"/>
            <w:hideMark/>
          </w:tcPr>
          <w:p w14:paraId="688003A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0,2969</w:t>
            </w:r>
          </w:p>
        </w:tc>
        <w:tc>
          <w:tcPr>
            <w:tcW w:w="0" w:type="auto"/>
            <w:vAlign w:val="center"/>
            <w:hideMark/>
          </w:tcPr>
          <w:p w14:paraId="121A190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2,8805</w:t>
            </w:r>
          </w:p>
        </w:tc>
        <w:tc>
          <w:tcPr>
            <w:tcW w:w="0" w:type="auto"/>
            <w:vAlign w:val="center"/>
            <w:hideMark/>
          </w:tcPr>
          <w:p w14:paraId="0E3F143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1,0191</w:t>
            </w:r>
          </w:p>
        </w:tc>
      </w:tr>
    </w:tbl>
    <w:p w14:paraId="120830A2"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5F3E67A1" w14:textId="024CCF2F"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6 - Tarifa de Armazenagem da Carga Importada</w:t>
      </w:r>
    </w:p>
    <w:p w14:paraId="57B4F991"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4633"/>
        <w:gridCol w:w="2171"/>
      </w:tblGrid>
      <w:tr w:rsidR="00A84613" w:rsidRPr="00A84613" w14:paraId="11F7A805" w14:textId="77777777" w:rsidTr="00A84613">
        <w:trPr>
          <w:jc w:val="center"/>
        </w:trPr>
        <w:tc>
          <w:tcPr>
            <w:tcW w:w="0" w:type="auto"/>
            <w:hideMark/>
          </w:tcPr>
          <w:p w14:paraId="781A6ED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Períodos de Armazenagem</w:t>
            </w:r>
          </w:p>
        </w:tc>
        <w:tc>
          <w:tcPr>
            <w:tcW w:w="0" w:type="auto"/>
            <w:hideMark/>
          </w:tcPr>
          <w:p w14:paraId="291B28C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Percentual sobre o valor CIF</w:t>
            </w:r>
          </w:p>
        </w:tc>
      </w:tr>
      <w:tr w:rsidR="00A84613" w:rsidRPr="00A84613" w14:paraId="1154F518" w14:textId="77777777" w:rsidTr="00A84613">
        <w:trPr>
          <w:jc w:val="center"/>
        </w:trPr>
        <w:tc>
          <w:tcPr>
            <w:tcW w:w="0" w:type="auto"/>
            <w:hideMark/>
          </w:tcPr>
          <w:p w14:paraId="64F57FD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1º - Até 02 dias úteis</w:t>
            </w:r>
          </w:p>
        </w:tc>
        <w:tc>
          <w:tcPr>
            <w:tcW w:w="0" w:type="auto"/>
            <w:hideMark/>
          </w:tcPr>
          <w:p w14:paraId="3937160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0,75%</w:t>
            </w:r>
          </w:p>
        </w:tc>
      </w:tr>
      <w:tr w:rsidR="00A84613" w:rsidRPr="00A84613" w14:paraId="33821EBC" w14:textId="77777777" w:rsidTr="00A84613">
        <w:trPr>
          <w:jc w:val="center"/>
        </w:trPr>
        <w:tc>
          <w:tcPr>
            <w:tcW w:w="0" w:type="auto"/>
            <w:hideMark/>
          </w:tcPr>
          <w:p w14:paraId="034B587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2º - De 3 a 5 dias úteis</w:t>
            </w:r>
          </w:p>
        </w:tc>
        <w:tc>
          <w:tcPr>
            <w:tcW w:w="0" w:type="auto"/>
            <w:hideMark/>
          </w:tcPr>
          <w:p w14:paraId="7C8C756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1,50%</w:t>
            </w:r>
          </w:p>
        </w:tc>
      </w:tr>
      <w:tr w:rsidR="00A84613" w:rsidRPr="00A84613" w14:paraId="0B1B54B2" w14:textId="77777777" w:rsidTr="00A84613">
        <w:trPr>
          <w:jc w:val="center"/>
        </w:trPr>
        <w:tc>
          <w:tcPr>
            <w:tcW w:w="0" w:type="auto"/>
            <w:hideMark/>
          </w:tcPr>
          <w:p w14:paraId="21E1E2F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3º - De 6 a 10 dias úteis</w:t>
            </w:r>
          </w:p>
        </w:tc>
        <w:tc>
          <w:tcPr>
            <w:tcW w:w="0" w:type="auto"/>
            <w:hideMark/>
          </w:tcPr>
          <w:p w14:paraId="71CE1C29"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2,25%</w:t>
            </w:r>
          </w:p>
        </w:tc>
      </w:tr>
      <w:tr w:rsidR="00A84613" w:rsidRPr="00A84613" w14:paraId="7541CCB5" w14:textId="77777777" w:rsidTr="00A84613">
        <w:trPr>
          <w:jc w:val="center"/>
        </w:trPr>
        <w:tc>
          <w:tcPr>
            <w:tcW w:w="0" w:type="auto"/>
            <w:hideMark/>
          </w:tcPr>
          <w:p w14:paraId="328CF79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4º - De 11 a 20 dias úteis</w:t>
            </w:r>
          </w:p>
        </w:tc>
        <w:tc>
          <w:tcPr>
            <w:tcW w:w="0" w:type="auto"/>
            <w:hideMark/>
          </w:tcPr>
          <w:p w14:paraId="6504692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4,50%</w:t>
            </w:r>
          </w:p>
        </w:tc>
      </w:tr>
      <w:tr w:rsidR="00A84613" w:rsidRPr="00A84613" w14:paraId="5DA98E15" w14:textId="77777777" w:rsidTr="00A84613">
        <w:trPr>
          <w:jc w:val="center"/>
        </w:trPr>
        <w:tc>
          <w:tcPr>
            <w:tcW w:w="0" w:type="auto"/>
            <w:hideMark/>
          </w:tcPr>
          <w:p w14:paraId="7857450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Para cada 10 dias úteis ou fração, além do 4º período, até a retirada da mercadoria.</w:t>
            </w:r>
          </w:p>
        </w:tc>
        <w:tc>
          <w:tcPr>
            <w:tcW w:w="0" w:type="auto"/>
            <w:hideMark/>
          </w:tcPr>
          <w:p w14:paraId="46FFC80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+ 2,25%</w:t>
            </w:r>
          </w:p>
        </w:tc>
      </w:tr>
      <w:tr w:rsidR="00A84613" w:rsidRPr="00A84613" w14:paraId="7A180A41" w14:textId="77777777" w:rsidTr="00A84613">
        <w:trPr>
          <w:jc w:val="center"/>
        </w:trPr>
        <w:tc>
          <w:tcPr>
            <w:tcW w:w="0" w:type="auto"/>
            <w:gridSpan w:val="2"/>
            <w:hideMark/>
          </w:tcPr>
          <w:p w14:paraId="4CBC97CA"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Observações:</w:t>
            </w:r>
            <w:r w:rsidRPr="00A84613">
              <w:rPr>
                <w:rFonts w:ascii="Times New Roman" w:hAnsi="Times New Roman"/>
                <w:bCs/>
                <w:sz w:val="24"/>
                <w:szCs w:val="24"/>
              </w:rPr>
              <w:br/>
              <w:t>1. A partir do 4º (quarto) período os percentuais são cumulativos;</w:t>
            </w:r>
            <w:r w:rsidRPr="00A84613">
              <w:rPr>
                <w:rFonts w:ascii="Times New Roman" w:hAnsi="Times New Roman"/>
                <w:bCs/>
                <w:sz w:val="24"/>
                <w:szCs w:val="24"/>
              </w:rPr>
              <w:br/>
              <w:t>2. Esta Tabela é aplicada cumulativamente com a Tabela 7.</w:t>
            </w:r>
          </w:p>
        </w:tc>
      </w:tr>
    </w:tbl>
    <w:p w14:paraId="074E52B5"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62C79D3A" w14:textId="54D7120F"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7 - Tarifa de Capatazia da Carga Importada</w:t>
      </w:r>
    </w:p>
    <w:p w14:paraId="59DCA6E2"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6804"/>
      </w:tblGrid>
      <w:tr w:rsidR="00A84613" w:rsidRPr="00A84613" w14:paraId="39A88F33" w14:textId="77777777" w:rsidTr="00A84613">
        <w:trPr>
          <w:jc w:val="center"/>
        </w:trPr>
        <w:tc>
          <w:tcPr>
            <w:tcW w:w="0" w:type="auto"/>
            <w:hideMark/>
          </w:tcPr>
          <w:p w14:paraId="1EE7B21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roofErr w:type="gramStart"/>
            <w:r w:rsidRPr="00A84613">
              <w:rPr>
                <w:rFonts w:ascii="Times New Roman" w:hAnsi="Times New Roman"/>
                <w:b/>
                <w:bCs/>
                <w:sz w:val="24"/>
                <w:szCs w:val="24"/>
              </w:rPr>
              <w:t>Valor Sobre</w:t>
            </w:r>
            <w:proofErr w:type="gramEnd"/>
            <w:r w:rsidRPr="00A84613">
              <w:rPr>
                <w:rFonts w:ascii="Times New Roman" w:hAnsi="Times New Roman"/>
                <w:b/>
                <w:bCs/>
                <w:sz w:val="24"/>
                <w:szCs w:val="24"/>
              </w:rPr>
              <w:t xml:space="preserve"> o Peso Bruto Verificado</w:t>
            </w:r>
          </w:p>
        </w:tc>
      </w:tr>
      <w:tr w:rsidR="00A84613" w:rsidRPr="00A84613" w14:paraId="626E68DD" w14:textId="77777777" w:rsidTr="00A84613">
        <w:trPr>
          <w:jc w:val="center"/>
        </w:trPr>
        <w:tc>
          <w:tcPr>
            <w:tcW w:w="0" w:type="auto"/>
            <w:hideMark/>
          </w:tcPr>
          <w:p w14:paraId="128A65C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R$ 0,0690 por quilograma</w:t>
            </w:r>
          </w:p>
        </w:tc>
      </w:tr>
      <w:tr w:rsidR="00A84613" w:rsidRPr="00A84613" w14:paraId="34B85302" w14:textId="77777777" w:rsidTr="00A84613">
        <w:trPr>
          <w:jc w:val="center"/>
        </w:trPr>
        <w:tc>
          <w:tcPr>
            <w:tcW w:w="0" w:type="auto"/>
            <w:hideMark/>
          </w:tcPr>
          <w:p w14:paraId="40B9D8A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lastRenderedPageBreak/>
              <w:t>Observações:</w:t>
            </w:r>
            <w:r w:rsidRPr="00A84613">
              <w:rPr>
                <w:rFonts w:ascii="Times New Roman" w:hAnsi="Times New Roman"/>
                <w:bCs/>
                <w:sz w:val="24"/>
                <w:szCs w:val="24"/>
              </w:rPr>
              <w:br/>
              <w:t>1. Esta tabela é aplicada cumulativamente com a Tabela 6</w:t>
            </w:r>
            <w:r w:rsidRPr="00A84613">
              <w:rPr>
                <w:rFonts w:ascii="Times New Roman" w:hAnsi="Times New Roman"/>
                <w:bCs/>
                <w:sz w:val="24"/>
                <w:szCs w:val="24"/>
              </w:rPr>
              <w:br/>
              <w:t>2. O valor da tarifa aeroportuária de capatazia será cobrado uma única vez;</w:t>
            </w:r>
            <w:r w:rsidRPr="00A84613">
              <w:rPr>
                <w:rFonts w:ascii="Times New Roman" w:hAnsi="Times New Roman"/>
                <w:bCs/>
                <w:sz w:val="24"/>
                <w:szCs w:val="24"/>
              </w:rPr>
              <w:br/>
              <w:t>3. Cobrança mínima: R$16,61 (dezesseis reais e sessenta e um centavos).</w:t>
            </w:r>
          </w:p>
        </w:tc>
      </w:tr>
    </w:tbl>
    <w:p w14:paraId="1E554840"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48C16E88" w14:textId="00FB195A"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8 - Tarifas de Armazenagem e Capatazia da Carga Importada Aplicada em Casos Especiais</w:t>
      </w:r>
    </w:p>
    <w:p w14:paraId="3C083EBA"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5252"/>
        <w:gridCol w:w="1552"/>
      </w:tblGrid>
      <w:tr w:rsidR="00A84613" w:rsidRPr="00A84613" w14:paraId="72323DE0" w14:textId="77777777" w:rsidTr="00A84613">
        <w:trPr>
          <w:jc w:val="center"/>
        </w:trPr>
        <w:tc>
          <w:tcPr>
            <w:tcW w:w="0" w:type="auto"/>
            <w:hideMark/>
          </w:tcPr>
          <w:p w14:paraId="3FBA227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Período de Armazenagem</w:t>
            </w:r>
          </w:p>
        </w:tc>
        <w:tc>
          <w:tcPr>
            <w:tcW w:w="0" w:type="auto"/>
            <w:hideMark/>
          </w:tcPr>
          <w:p w14:paraId="62C9C909"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Sobre o peso bruto</w:t>
            </w:r>
          </w:p>
        </w:tc>
      </w:tr>
      <w:tr w:rsidR="00A84613" w:rsidRPr="00A84613" w14:paraId="5A0933A1" w14:textId="77777777" w:rsidTr="00A84613">
        <w:trPr>
          <w:jc w:val="center"/>
        </w:trPr>
        <w:tc>
          <w:tcPr>
            <w:tcW w:w="0" w:type="auto"/>
            <w:hideMark/>
          </w:tcPr>
          <w:p w14:paraId="0C7CB1E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1º - Até 4 dias úteis</w:t>
            </w:r>
          </w:p>
        </w:tc>
        <w:tc>
          <w:tcPr>
            <w:tcW w:w="0" w:type="auto"/>
            <w:hideMark/>
          </w:tcPr>
          <w:p w14:paraId="26C1208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R$ 0,1843</w:t>
            </w:r>
          </w:p>
        </w:tc>
      </w:tr>
      <w:tr w:rsidR="00A84613" w:rsidRPr="00A84613" w14:paraId="22BBE63F" w14:textId="77777777" w:rsidTr="00A84613">
        <w:trPr>
          <w:jc w:val="center"/>
        </w:trPr>
        <w:tc>
          <w:tcPr>
            <w:tcW w:w="0" w:type="auto"/>
            <w:hideMark/>
          </w:tcPr>
          <w:p w14:paraId="2E0E92D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2º - Para cada 2 dias úteis ou fração, além do 1º período, até a retirada da mercadoria</w:t>
            </w:r>
          </w:p>
        </w:tc>
        <w:tc>
          <w:tcPr>
            <w:tcW w:w="0" w:type="auto"/>
            <w:hideMark/>
          </w:tcPr>
          <w:p w14:paraId="0024E6EE"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 R$ 0,1843</w:t>
            </w:r>
          </w:p>
        </w:tc>
      </w:tr>
      <w:tr w:rsidR="00A84613" w:rsidRPr="00A84613" w14:paraId="53B99B02" w14:textId="77777777" w:rsidTr="00A84613">
        <w:trPr>
          <w:jc w:val="center"/>
        </w:trPr>
        <w:tc>
          <w:tcPr>
            <w:tcW w:w="0" w:type="auto"/>
            <w:gridSpan w:val="2"/>
            <w:hideMark/>
          </w:tcPr>
          <w:p w14:paraId="1D7CB1B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Observações:</w:t>
            </w:r>
            <w:r w:rsidRPr="00A84613">
              <w:rPr>
                <w:rFonts w:ascii="Times New Roman" w:hAnsi="Times New Roman"/>
                <w:bCs/>
                <w:sz w:val="24"/>
                <w:szCs w:val="24"/>
              </w:rPr>
              <w:br/>
              <w:t>1. A tarifa mínima a ser cobrada será correspondente a R$16,63 (dezesseis reais e sessenta e três centavos).</w:t>
            </w:r>
          </w:p>
        </w:tc>
      </w:tr>
    </w:tbl>
    <w:p w14:paraId="127C6F0D"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4ABCF899" w14:textId="235B45C8"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9 - Tarifas de Capatazia da Carga Importada em Trânsito</w:t>
      </w:r>
    </w:p>
    <w:p w14:paraId="7F90D149"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14175" w:type="dxa"/>
        <w:tblLook w:val="04A0" w:firstRow="1" w:lastRow="0" w:firstColumn="1" w:lastColumn="0" w:noHBand="0" w:noVBand="1"/>
      </w:tblPr>
      <w:tblGrid>
        <w:gridCol w:w="14175"/>
      </w:tblGrid>
      <w:tr w:rsidR="00A84613" w:rsidRPr="00A84613" w14:paraId="02088DCC" w14:textId="77777777" w:rsidTr="00A84613">
        <w:tc>
          <w:tcPr>
            <w:tcW w:w="0" w:type="auto"/>
            <w:hideMark/>
          </w:tcPr>
          <w:p w14:paraId="4E99EC3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Valor sobre o peso bruto verificado</w:t>
            </w:r>
          </w:p>
        </w:tc>
      </w:tr>
      <w:tr w:rsidR="00A84613" w:rsidRPr="00A84613" w14:paraId="7FB88B62" w14:textId="77777777" w:rsidTr="00A84613">
        <w:tc>
          <w:tcPr>
            <w:tcW w:w="0" w:type="auto"/>
            <w:hideMark/>
          </w:tcPr>
          <w:p w14:paraId="1D346FFA"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R$ 1,1521</w:t>
            </w:r>
          </w:p>
        </w:tc>
      </w:tr>
      <w:tr w:rsidR="00A84613" w:rsidRPr="00A84613" w14:paraId="490C455D" w14:textId="77777777" w:rsidTr="00A84613">
        <w:tc>
          <w:tcPr>
            <w:tcW w:w="0" w:type="auto"/>
            <w:hideMark/>
          </w:tcPr>
          <w:p w14:paraId="65C81CF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Observações:</w:t>
            </w:r>
            <w:r w:rsidRPr="00A84613">
              <w:rPr>
                <w:rFonts w:ascii="Times New Roman" w:hAnsi="Times New Roman"/>
                <w:bCs/>
                <w:sz w:val="24"/>
                <w:szCs w:val="24"/>
              </w:rPr>
              <w:br/>
              <w:t>1. Cobrança mínima: R$83,14 (oitenta e três reais e quatorze centavos);</w:t>
            </w:r>
            <w:r w:rsidRPr="00A84613">
              <w:rPr>
                <w:rFonts w:ascii="Times New Roman" w:hAnsi="Times New Roman"/>
                <w:bCs/>
                <w:sz w:val="24"/>
                <w:szCs w:val="24"/>
              </w:rPr>
              <w:br/>
              <w:t>2. Esta tabela aplica-se à carga com permanência máxima de 24 (vinte e quatro) horas no TECA;</w:t>
            </w:r>
            <w:r w:rsidRPr="00A84613">
              <w:rPr>
                <w:rFonts w:ascii="Times New Roman" w:hAnsi="Times New Roman"/>
                <w:bCs/>
                <w:sz w:val="24"/>
                <w:szCs w:val="24"/>
              </w:rPr>
              <w:br/>
              <w:t>3. Excedido o prazo de 24 (vinte e quatro) horas, após a entrada da carga no TECA, deverão ser aplicadas as Tabelas 6 e 7 ou a Tabela 10 deste Anexo.</w:t>
            </w:r>
          </w:p>
        </w:tc>
      </w:tr>
    </w:tbl>
    <w:p w14:paraId="76CDD081"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50C4EF41" w14:textId="71B9D03B"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10 - Tarifas de Armazenagem e Capatazia da Carga Importada de Alto Valor Específico</w:t>
      </w:r>
    </w:p>
    <w:p w14:paraId="00766B3D"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14175" w:type="dxa"/>
        <w:tblLook w:val="04A0" w:firstRow="1" w:lastRow="0" w:firstColumn="1" w:lastColumn="0" w:noHBand="0" w:noVBand="1"/>
      </w:tblPr>
      <w:tblGrid>
        <w:gridCol w:w="7212"/>
        <w:gridCol w:w="3320"/>
        <w:gridCol w:w="3643"/>
      </w:tblGrid>
      <w:tr w:rsidR="00A84613" w:rsidRPr="00A84613" w14:paraId="149BE30A" w14:textId="77777777" w:rsidTr="00A84613">
        <w:tc>
          <w:tcPr>
            <w:tcW w:w="0" w:type="auto"/>
            <w:hideMark/>
          </w:tcPr>
          <w:p w14:paraId="2E1B7D5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Períodos de Armazenagem</w:t>
            </w:r>
          </w:p>
        </w:tc>
        <w:tc>
          <w:tcPr>
            <w:tcW w:w="0" w:type="auto"/>
            <w:hideMark/>
          </w:tcPr>
          <w:p w14:paraId="6FA4153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Faixa (R$)</w:t>
            </w:r>
          </w:p>
        </w:tc>
        <w:tc>
          <w:tcPr>
            <w:tcW w:w="0" w:type="auto"/>
            <w:hideMark/>
          </w:tcPr>
          <w:p w14:paraId="04CF026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Percentual sobre o Valor CIF</w:t>
            </w:r>
          </w:p>
        </w:tc>
      </w:tr>
      <w:tr w:rsidR="00A84613" w:rsidRPr="00A84613" w14:paraId="5018C4E9" w14:textId="77777777" w:rsidTr="00A84613">
        <w:tc>
          <w:tcPr>
            <w:tcW w:w="0" w:type="auto"/>
            <w:vMerge w:val="restart"/>
            <w:hideMark/>
          </w:tcPr>
          <w:p w14:paraId="3B61C442"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 dias úteis ou fração, a contar da data do recebimento no TECA</w:t>
            </w:r>
          </w:p>
        </w:tc>
        <w:tc>
          <w:tcPr>
            <w:tcW w:w="0" w:type="auto"/>
            <w:hideMark/>
          </w:tcPr>
          <w:p w14:paraId="30B2F8B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de 5.000,00 a 19.999,99/kg</w:t>
            </w:r>
          </w:p>
        </w:tc>
        <w:tc>
          <w:tcPr>
            <w:tcW w:w="0" w:type="auto"/>
            <w:hideMark/>
          </w:tcPr>
          <w:p w14:paraId="5CFC24B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0,60%</w:t>
            </w:r>
          </w:p>
        </w:tc>
      </w:tr>
      <w:tr w:rsidR="00A84613" w:rsidRPr="00A84613" w14:paraId="3AD08404" w14:textId="77777777" w:rsidTr="00A84613">
        <w:tc>
          <w:tcPr>
            <w:tcW w:w="0" w:type="auto"/>
            <w:vMerge/>
            <w:hideMark/>
          </w:tcPr>
          <w:p w14:paraId="61470F56"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7E24374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de 20.000,00 a 79.999,99/kg</w:t>
            </w:r>
          </w:p>
        </w:tc>
        <w:tc>
          <w:tcPr>
            <w:tcW w:w="0" w:type="auto"/>
            <w:hideMark/>
          </w:tcPr>
          <w:p w14:paraId="4E695AE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0,30%</w:t>
            </w:r>
          </w:p>
        </w:tc>
      </w:tr>
      <w:tr w:rsidR="00A84613" w:rsidRPr="00A84613" w14:paraId="506267BB" w14:textId="77777777" w:rsidTr="00A84613">
        <w:tc>
          <w:tcPr>
            <w:tcW w:w="0" w:type="auto"/>
            <w:vMerge/>
            <w:hideMark/>
          </w:tcPr>
          <w:p w14:paraId="6C65673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p>
        </w:tc>
        <w:tc>
          <w:tcPr>
            <w:tcW w:w="0" w:type="auto"/>
            <w:hideMark/>
          </w:tcPr>
          <w:p w14:paraId="09359A0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acima de 80.000,00/kg</w:t>
            </w:r>
          </w:p>
        </w:tc>
        <w:tc>
          <w:tcPr>
            <w:tcW w:w="0" w:type="auto"/>
            <w:hideMark/>
          </w:tcPr>
          <w:p w14:paraId="68639BF1"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0,15%</w:t>
            </w:r>
          </w:p>
        </w:tc>
      </w:tr>
      <w:tr w:rsidR="00A84613" w:rsidRPr="00A84613" w14:paraId="29F7B6BC" w14:textId="77777777" w:rsidTr="00A84613">
        <w:tc>
          <w:tcPr>
            <w:tcW w:w="0" w:type="auto"/>
            <w:gridSpan w:val="3"/>
            <w:hideMark/>
          </w:tcPr>
          <w:p w14:paraId="6A326273"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Observações:</w:t>
            </w:r>
            <w:r w:rsidRPr="00A84613">
              <w:rPr>
                <w:rFonts w:ascii="Times New Roman" w:hAnsi="Times New Roman"/>
                <w:bCs/>
                <w:sz w:val="24"/>
                <w:szCs w:val="24"/>
              </w:rPr>
              <w:br/>
              <w:t>1. O valor CIF por quilograma tem como referencial para cálculo o peso líquido da carga.</w:t>
            </w:r>
          </w:p>
        </w:tc>
      </w:tr>
    </w:tbl>
    <w:p w14:paraId="1F2A25C9"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2EF8618B" w14:textId="59FCA3C1"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Tabela 11 - Tarifas de Armazenagem e Capatazia da Carga Destinada à Exportação</w:t>
      </w:r>
    </w:p>
    <w:p w14:paraId="4C22FD7A"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14175" w:type="dxa"/>
        <w:tblLook w:val="04A0" w:firstRow="1" w:lastRow="0" w:firstColumn="1" w:lastColumn="0" w:noHBand="0" w:noVBand="1"/>
      </w:tblPr>
      <w:tblGrid>
        <w:gridCol w:w="10640"/>
        <w:gridCol w:w="3535"/>
      </w:tblGrid>
      <w:tr w:rsidR="00A84613" w:rsidRPr="00A84613" w14:paraId="75F86663" w14:textId="77777777" w:rsidTr="00A84613">
        <w:tc>
          <w:tcPr>
            <w:tcW w:w="0" w:type="auto"/>
            <w:hideMark/>
          </w:tcPr>
          <w:p w14:paraId="09C2DCF4"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Período de Armazenagem</w:t>
            </w:r>
          </w:p>
        </w:tc>
        <w:tc>
          <w:tcPr>
            <w:tcW w:w="0" w:type="auto"/>
            <w:hideMark/>
          </w:tcPr>
          <w:p w14:paraId="13A32CBF"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Valor sobre o peso bruto</w:t>
            </w:r>
          </w:p>
        </w:tc>
      </w:tr>
      <w:tr w:rsidR="00A84613" w:rsidRPr="00A84613" w14:paraId="0964CD97" w14:textId="77777777" w:rsidTr="00A84613">
        <w:tc>
          <w:tcPr>
            <w:tcW w:w="0" w:type="auto"/>
            <w:hideMark/>
          </w:tcPr>
          <w:p w14:paraId="557CDD59"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1º - Até 4 dias úteis</w:t>
            </w:r>
          </w:p>
        </w:tc>
        <w:tc>
          <w:tcPr>
            <w:tcW w:w="0" w:type="auto"/>
            <w:hideMark/>
          </w:tcPr>
          <w:p w14:paraId="3244831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R$ 0,0922</w:t>
            </w:r>
          </w:p>
        </w:tc>
      </w:tr>
      <w:tr w:rsidR="00A84613" w:rsidRPr="00A84613" w14:paraId="7D6AFC53" w14:textId="77777777" w:rsidTr="00A84613">
        <w:tc>
          <w:tcPr>
            <w:tcW w:w="0" w:type="auto"/>
            <w:hideMark/>
          </w:tcPr>
          <w:p w14:paraId="7B2FC5F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2º - Para cada 2 dias úteis ou fração, além do 1º período, até a retirada da mercadoria</w:t>
            </w:r>
          </w:p>
        </w:tc>
        <w:tc>
          <w:tcPr>
            <w:tcW w:w="0" w:type="auto"/>
            <w:hideMark/>
          </w:tcPr>
          <w:p w14:paraId="72CB5439"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R$ 0,0922</w:t>
            </w:r>
          </w:p>
        </w:tc>
      </w:tr>
      <w:tr w:rsidR="00A84613" w:rsidRPr="00A84613" w14:paraId="318891E1" w14:textId="77777777" w:rsidTr="00A84613">
        <w:tc>
          <w:tcPr>
            <w:tcW w:w="0" w:type="auto"/>
            <w:gridSpan w:val="2"/>
            <w:hideMark/>
          </w:tcPr>
          <w:p w14:paraId="0C5EF27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Observações:</w:t>
            </w:r>
            <w:r w:rsidRPr="00A84613">
              <w:rPr>
                <w:rFonts w:ascii="Times New Roman" w:hAnsi="Times New Roman"/>
                <w:bCs/>
                <w:sz w:val="24"/>
                <w:szCs w:val="24"/>
              </w:rPr>
              <w:br/>
              <w:t>1. Tarifa mínima de R$6,66 (seis reais e sessenta e seis centavos) no TECA de origem e R$3,33 (três reais e trinta e três centavos) no TECA de trânsito;</w:t>
            </w:r>
            <w:r w:rsidRPr="00A84613">
              <w:rPr>
                <w:rFonts w:ascii="Times New Roman" w:hAnsi="Times New Roman"/>
                <w:bCs/>
                <w:sz w:val="24"/>
                <w:szCs w:val="24"/>
              </w:rPr>
              <w:br/>
              <w:t>2. Os valores são cumulativos a partir do 2º período;</w:t>
            </w:r>
            <w:r w:rsidRPr="00A84613">
              <w:rPr>
                <w:rFonts w:ascii="Times New Roman" w:hAnsi="Times New Roman"/>
                <w:bCs/>
                <w:sz w:val="24"/>
                <w:szCs w:val="24"/>
              </w:rPr>
              <w:br/>
              <w:t>3. Redução de 50% (cinquenta por cento) nos casos de retorno de carga perecível ao TECA, decorrente de atraso ou cancelamento de transporte aéreo previsto.</w:t>
            </w:r>
          </w:p>
        </w:tc>
      </w:tr>
    </w:tbl>
    <w:p w14:paraId="5F5125A0"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471D5081" w14:textId="756318DE"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lastRenderedPageBreak/>
        <w:t>Tabela 12 - Tarifas de Armazenagem e de Capatazia da Carga sob Pena de Perdimento</w:t>
      </w:r>
    </w:p>
    <w:p w14:paraId="75BDFDE6"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tbl>
      <w:tblPr>
        <w:tblStyle w:val="Tabelacomgrade"/>
        <w:tblW w:w="14175" w:type="dxa"/>
        <w:tblLook w:val="04A0" w:firstRow="1" w:lastRow="0" w:firstColumn="1" w:lastColumn="0" w:noHBand="0" w:noVBand="1"/>
      </w:tblPr>
      <w:tblGrid>
        <w:gridCol w:w="7153"/>
        <w:gridCol w:w="7022"/>
      </w:tblGrid>
      <w:tr w:rsidR="00A84613" w:rsidRPr="00A84613" w14:paraId="7F1DCBA6" w14:textId="77777777" w:rsidTr="00A84613">
        <w:tc>
          <w:tcPr>
            <w:tcW w:w="0" w:type="auto"/>
            <w:hideMark/>
          </w:tcPr>
          <w:p w14:paraId="4AA6357C"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Período de Armazenagem</w:t>
            </w:r>
          </w:p>
        </w:tc>
        <w:tc>
          <w:tcPr>
            <w:tcW w:w="0" w:type="auto"/>
            <w:hideMark/>
          </w:tcPr>
          <w:p w14:paraId="655EC0F8"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
                <w:bCs/>
                <w:sz w:val="24"/>
                <w:szCs w:val="24"/>
              </w:rPr>
              <w:t>Percentual sobre o valor FOB</w:t>
            </w:r>
          </w:p>
        </w:tc>
      </w:tr>
      <w:tr w:rsidR="00A84613" w:rsidRPr="00A84613" w14:paraId="1888EC07" w14:textId="77777777" w:rsidTr="00A84613">
        <w:tc>
          <w:tcPr>
            <w:tcW w:w="0" w:type="auto"/>
            <w:hideMark/>
          </w:tcPr>
          <w:p w14:paraId="351A8C2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1º Até 45 dias</w:t>
            </w:r>
          </w:p>
        </w:tc>
        <w:tc>
          <w:tcPr>
            <w:tcW w:w="0" w:type="auto"/>
            <w:hideMark/>
          </w:tcPr>
          <w:p w14:paraId="5680715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1,50%</w:t>
            </w:r>
          </w:p>
        </w:tc>
      </w:tr>
      <w:tr w:rsidR="00A84613" w:rsidRPr="00A84613" w14:paraId="101281DE" w14:textId="77777777" w:rsidTr="00A84613">
        <w:tc>
          <w:tcPr>
            <w:tcW w:w="0" w:type="auto"/>
            <w:hideMark/>
          </w:tcPr>
          <w:p w14:paraId="57D37EB7"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2º De mais de 45 dias a 90 dias</w:t>
            </w:r>
          </w:p>
        </w:tc>
        <w:tc>
          <w:tcPr>
            <w:tcW w:w="0" w:type="auto"/>
            <w:hideMark/>
          </w:tcPr>
          <w:p w14:paraId="67B118D5"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3,00%</w:t>
            </w:r>
          </w:p>
        </w:tc>
      </w:tr>
      <w:tr w:rsidR="00A84613" w:rsidRPr="00A84613" w14:paraId="3A00DA44" w14:textId="77777777" w:rsidTr="00A84613">
        <w:tc>
          <w:tcPr>
            <w:tcW w:w="0" w:type="auto"/>
            <w:hideMark/>
          </w:tcPr>
          <w:p w14:paraId="310CD70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3º De mais de 90 dias a 120 dias</w:t>
            </w:r>
          </w:p>
        </w:tc>
        <w:tc>
          <w:tcPr>
            <w:tcW w:w="0" w:type="auto"/>
            <w:hideMark/>
          </w:tcPr>
          <w:p w14:paraId="54A0DB10"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4,50%</w:t>
            </w:r>
          </w:p>
        </w:tc>
      </w:tr>
      <w:tr w:rsidR="00A84613" w:rsidRPr="00A84613" w14:paraId="407D4C4A" w14:textId="77777777" w:rsidTr="00A84613">
        <w:tc>
          <w:tcPr>
            <w:tcW w:w="0" w:type="auto"/>
            <w:hideMark/>
          </w:tcPr>
          <w:p w14:paraId="4DC23A4B"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4º De mais de 120 dias</w:t>
            </w:r>
          </w:p>
        </w:tc>
        <w:tc>
          <w:tcPr>
            <w:tcW w:w="0" w:type="auto"/>
            <w:hideMark/>
          </w:tcPr>
          <w:p w14:paraId="2F43360D" w14:textId="77777777" w:rsidR="00A84613" w:rsidRPr="00A84613" w:rsidRDefault="00A84613" w:rsidP="00A84613">
            <w:pPr>
              <w:widowControl w:val="0"/>
              <w:autoSpaceDE w:val="0"/>
              <w:autoSpaceDN w:val="0"/>
              <w:adjustRightInd w:val="0"/>
              <w:jc w:val="center"/>
              <w:rPr>
                <w:rFonts w:ascii="Times New Roman" w:hAnsi="Times New Roman"/>
                <w:bCs/>
                <w:sz w:val="24"/>
                <w:szCs w:val="24"/>
              </w:rPr>
            </w:pPr>
            <w:r w:rsidRPr="00A84613">
              <w:rPr>
                <w:rFonts w:ascii="Times New Roman" w:hAnsi="Times New Roman"/>
                <w:bCs/>
                <w:sz w:val="24"/>
                <w:szCs w:val="24"/>
              </w:rPr>
              <w:t>7,50%</w:t>
            </w:r>
          </w:p>
        </w:tc>
      </w:tr>
    </w:tbl>
    <w:p w14:paraId="21E49C3C"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 </w:t>
      </w:r>
    </w:p>
    <w:p w14:paraId="5A4A6C1B"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Art. 2º Os novos tetos tarifários passam a vigorar em 29 de agosto de 2021.</w:t>
      </w:r>
    </w:p>
    <w:p w14:paraId="27347D76" w14:textId="77777777" w:rsid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74223E7E" w14:textId="3BE6FAE8"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Parágrafo único. Após a entrada em vigor dos novos tetos, a Concessionária poderá dar publicidade a novos valores de tarifas, que poderão ser praticados após 30 (trinta) dias, conforme determina a cláusula 3.1.25 do Contrato de Concessão.</w:t>
      </w:r>
    </w:p>
    <w:p w14:paraId="43DE18C0" w14:textId="77777777" w:rsid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60C45D2F" w14:textId="23BDCFEA"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Art. 3º Esta Portaria entra em vigor na data de sua publicação.</w:t>
      </w:r>
    </w:p>
    <w:p w14:paraId="527610B0" w14:textId="212DB68A" w:rsid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p>
    <w:p w14:paraId="71C08D18" w14:textId="02F1BE12" w:rsidR="00DF738A" w:rsidRDefault="00DF738A" w:rsidP="00A84613">
      <w:pPr>
        <w:widowControl w:val="0"/>
        <w:autoSpaceDE w:val="0"/>
        <w:autoSpaceDN w:val="0"/>
        <w:adjustRightInd w:val="0"/>
        <w:spacing w:after="0" w:line="240" w:lineRule="auto"/>
        <w:jc w:val="center"/>
        <w:rPr>
          <w:rFonts w:ascii="Times New Roman" w:hAnsi="Times New Roman"/>
          <w:b/>
          <w:bCs/>
          <w:sz w:val="24"/>
          <w:szCs w:val="24"/>
        </w:rPr>
      </w:pPr>
    </w:p>
    <w:p w14:paraId="0F155ED5" w14:textId="41E3BDE4" w:rsidR="00DF738A" w:rsidRDefault="00DF738A" w:rsidP="00A84613">
      <w:pPr>
        <w:widowControl w:val="0"/>
        <w:autoSpaceDE w:val="0"/>
        <w:autoSpaceDN w:val="0"/>
        <w:adjustRightInd w:val="0"/>
        <w:spacing w:after="0" w:line="240" w:lineRule="auto"/>
        <w:jc w:val="center"/>
        <w:rPr>
          <w:rFonts w:ascii="Times New Roman" w:hAnsi="Times New Roman"/>
          <w:b/>
          <w:bCs/>
          <w:sz w:val="24"/>
          <w:szCs w:val="24"/>
        </w:rPr>
      </w:pPr>
    </w:p>
    <w:p w14:paraId="58F89A42" w14:textId="77777777" w:rsidR="00DF738A" w:rsidRDefault="00DF738A" w:rsidP="00A84613">
      <w:pPr>
        <w:widowControl w:val="0"/>
        <w:autoSpaceDE w:val="0"/>
        <w:autoSpaceDN w:val="0"/>
        <w:adjustRightInd w:val="0"/>
        <w:spacing w:after="0" w:line="240" w:lineRule="auto"/>
        <w:jc w:val="center"/>
        <w:rPr>
          <w:rFonts w:ascii="Times New Roman" w:hAnsi="Times New Roman"/>
          <w:b/>
          <w:bCs/>
          <w:sz w:val="24"/>
          <w:szCs w:val="24"/>
        </w:rPr>
      </w:pPr>
    </w:p>
    <w:p w14:paraId="6837C630" w14:textId="3A68684C" w:rsidR="00A84613" w:rsidRPr="00A84613" w:rsidRDefault="00A84613" w:rsidP="00A84613">
      <w:pPr>
        <w:widowControl w:val="0"/>
        <w:autoSpaceDE w:val="0"/>
        <w:autoSpaceDN w:val="0"/>
        <w:adjustRightInd w:val="0"/>
        <w:spacing w:after="0" w:line="240" w:lineRule="auto"/>
        <w:jc w:val="center"/>
        <w:rPr>
          <w:rFonts w:ascii="Times New Roman" w:hAnsi="Times New Roman"/>
          <w:b/>
          <w:bCs/>
          <w:sz w:val="24"/>
          <w:szCs w:val="24"/>
        </w:rPr>
      </w:pPr>
      <w:r w:rsidRPr="00A84613">
        <w:rPr>
          <w:rFonts w:ascii="Times New Roman" w:hAnsi="Times New Roman"/>
          <w:b/>
          <w:bCs/>
          <w:sz w:val="24"/>
          <w:szCs w:val="24"/>
        </w:rPr>
        <w:t>ADRIANO PINTO DE MIRANDA</w:t>
      </w:r>
    </w:p>
    <w:p w14:paraId="3EBB11C7"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Superintendente de Regulação Econômica de Aeroportos</w:t>
      </w:r>
    </w:p>
    <w:p w14:paraId="216DAD2E" w14:textId="5442CC4A" w:rsid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p>
    <w:p w14:paraId="21A40575" w14:textId="2F5FFFBC" w:rsidR="00DF738A" w:rsidRDefault="00DF738A" w:rsidP="00A8461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br w:type="page"/>
      </w:r>
    </w:p>
    <w:p w14:paraId="10E29F8C" w14:textId="77777777" w:rsidR="00DF738A" w:rsidRDefault="00DF738A" w:rsidP="00A84613">
      <w:pPr>
        <w:widowControl w:val="0"/>
        <w:autoSpaceDE w:val="0"/>
        <w:autoSpaceDN w:val="0"/>
        <w:adjustRightInd w:val="0"/>
        <w:spacing w:after="0" w:line="240" w:lineRule="auto"/>
        <w:jc w:val="center"/>
        <w:rPr>
          <w:rFonts w:ascii="Times New Roman" w:hAnsi="Times New Roman"/>
          <w:bCs/>
          <w:sz w:val="24"/>
          <w:szCs w:val="24"/>
        </w:rPr>
      </w:pPr>
    </w:p>
    <w:p w14:paraId="3CD06FC5" w14:textId="7999ED33" w:rsidR="00A84613" w:rsidRPr="00DF738A" w:rsidRDefault="00DF738A" w:rsidP="00A84613">
      <w:pPr>
        <w:widowControl w:val="0"/>
        <w:autoSpaceDE w:val="0"/>
        <w:autoSpaceDN w:val="0"/>
        <w:adjustRightInd w:val="0"/>
        <w:spacing w:after="0" w:line="240" w:lineRule="auto"/>
        <w:jc w:val="center"/>
        <w:rPr>
          <w:rFonts w:ascii="Times New Roman" w:hAnsi="Times New Roman"/>
          <w:b/>
          <w:bCs/>
          <w:sz w:val="24"/>
          <w:szCs w:val="24"/>
        </w:rPr>
      </w:pPr>
      <w:r w:rsidRPr="00DF738A">
        <w:rPr>
          <w:rFonts w:ascii="Times New Roman" w:hAnsi="Times New Roman"/>
          <w:b/>
          <w:bCs/>
          <w:sz w:val="24"/>
          <w:szCs w:val="24"/>
        </w:rPr>
        <w:t>ANEXO À PORTARIA Nº 5.654/SRA, DE 10 DE AGOSTO DE 2021.</w:t>
      </w:r>
    </w:p>
    <w:p w14:paraId="109191F5" w14:textId="77777777" w:rsidR="00DF738A" w:rsidRPr="00A84613" w:rsidRDefault="00DF738A" w:rsidP="00A84613">
      <w:pPr>
        <w:widowControl w:val="0"/>
        <w:autoSpaceDE w:val="0"/>
        <w:autoSpaceDN w:val="0"/>
        <w:adjustRightInd w:val="0"/>
        <w:spacing w:after="0" w:line="240" w:lineRule="auto"/>
        <w:jc w:val="center"/>
        <w:rPr>
          <w:rFonts w:ascii="Times New Roman" w:hAnsi="Times New Roman"/>
          <w:bCs/>
          <w:sz w:val="24"/>
          <w:szCs w:val="24"/>
        </w:rPr>
      </w:pPr>
    </w:p>
    <w:p w14:paraId="235CBF98"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r w:rsidRPr="00A84613">
        <w:rPr>
          <w:rFonts w:ascii="Times New Roman" w:hAnsi="Times New Roman"/>
          <w:bCs/>
          <w:sz w:val="24"/>
          <w:szCs w:val="24"/>
        </w:rPr>
        <w:t>MEMÓRIA DE CÁLCULO - REAJUSTE TARIFÁRIO</w:t>
      </w:r>
    </w:p>
    <w:p w14:paraId="382EFAB1" w14:textId="77777777" w:rsidR="00A84613" w:rsidRPr="00A84613" w:rsidRDefault="00A84613" w:rsidP="00A84613">
      <w:pPr>
        <w:widowControl w:val="0"/>
        <w:autoSpaceDE w:val="0"/>
        <w:autoSpaceDN w:val="0"/>
        <w:adjustRightInd w:val="0"/>
        <w:spacing w:after="0" w:line="240" w:lineRule="auto"/>
        <w:jc w:val="center"/>
        <w:rPr>
          <w:rFonts w:ascii="Times New Roman" w:hAnsi="Times New Roman"/>
          <w:bCs/>
          <w:sz w:val="24"/>
          <w:szCs w:val="24"/>
        </w:rPr>
      </w:pPr>
    </w:p>
    <w:p w14:paraId="7D54354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O cálculo do Reajuste Tarifário de 2021 do Aeroporto Internacional de Fortaleza baseou-se na fórmula prevista na cláusula 6.5 do Contrato de Concessão, a seguir transcrita:</w:t>
      </w:r>
    </w:p>
    <w:p w14:paraId="228D1B52"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1A5DDE8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Após o primeiro reajuste, as Tarifas previstas no Anexo 4 - Tarifas serão reajustadas anualmente pelo IPCA, tendo como referência a data de publicação do último reajuste, observando-se a seguinte fórmula:</w:t>
      </w:r>
    </w:p>
    <w:p w14:paraId="1E2F7ED2"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1F210F97"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 xml:space="preserve">Para t=2, tem-se que </w:t>
      </w:r>
      <w:proofErr w:type="spellStart"/>
      <w:r w:rsidRPr="00A84613">
        <w:rPr>
          <w:rFonts w:ascii="Times New Roman" w:hAnsi="Times New Roman"/>
          <w:bCs/>
          <w:sz w:val="24"/>
          <w:szCs w:val="24"/>
        </w:rPr>
        <w:t>Pt</w:t>
      </w:r>
      <w:proofErr w:type="spellEnd"/>
      <w:r w:rsidRPr="00A84613">
        <w:rPr>
          <w:rFonts w:ascii="Times New Roman" w:hAnsi="Times New Roman"/>
          <w:bCs/>
          <w:sz w:val="24"/>
          <w:szCs w:val="24"/>
        </w:rPr>
        <w:t xml:space="preserve"> = Pt-1 × (</w:t>
      </w:r>
      <w:proofErr w:type="spellStart"/>
      <w:r w:rsidRPr="00A84613">
        <w:rPr>
          <w:rFonts w:ascii="Times New Roman" w:hAnsi="Times New Roman"/>
          <w:bCs/>
          <w:sz w:val="24"/>
          <w:szCs w:val="24"/>
        </w:rPr>
        <w:t>IPCAt</w:t>
      </w:r>
      <w:proofErr w:type="spellEnd"/>
      <w:r w:rsidRPr="00A84613">
        <w:rPr>
          <w:rFonts w:ascii="Times New Roman" w:hAnsi="Times New Roman"/>
          <w:bCs/>
          <w:sz w:val="24"/>
          <w:szCs w:val="24"/>
        </w:rPr>
        <w:t>/IPCAt-</w:t>
      </w:r>
      <w:proofErr w:type="gramStart"/>
      <w:r w:rsidRPr="00A84613">
        <w:rPr>
          <w:rFonts w:ascii="Times New Roman" w:hAnsi="Times New Roman"/>
          <w:bCs/>
          <w:sz w:val="24"/>
          <w:szCs w:val="24"/>
        </w:rPr>
        <w:t>1)×</w:t>
      </w:r>
      <w:proofErr w:type="gramEnd"/>
      <w:r w:rsidRPr="00A84613">
        <w:rPr>
          <w:rFonts w:ascii="Times New Roman" w:hAnsi="Times New Roman"/>
          <w:bCs/>
          <w:sz w:val="24"/>
          <w:szCs w:val="24"/>
        </w:rPr>
        <w:t>(1-Xt)x(1-Qt)</w:t>
      </w:r>
    </w:p>
    <w:p w14:paraId="525FCA67"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3FE4B440"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 xml:space="preserve">Para t&gt;2, tem-se que </w:t>
      </w:r>
      <w:proofErr w:type="spellStart"/>
      <w:r w:rsidRPr="00A84613">
        <w:rPr>
          <w:rFonts w:ascii="Times New Roman" w:hAnsi="Times New Roman"/>
          <w:bCs/>
          <w:sz w:val="24"/>
          <w:szCs w:val="24"/>
        </w:rPr>
        <w:t>Pt</w:t>
      </w:r>
      <w:proofErr w:type="spellEnd"/>
      <w:r w:rsidRPr="00A84613">
        <w:rPr>
          <w:rFonts w:ascii="Times New Roman" w:hAnsi="Times New Roman"/>
          <w:bCs/>
          <w:sz w:val="24"/>
          <w:szCs w:val="24"/>
        </w:rPr>
        <w:t xml:space="preserve"> = Pt-1 × (</w:t>
      </w:r>
      <w:proofErr w:type="spellStart"/>
      <w:r w:rsidRPr="00A84613">
        <w:rPr>
          <w:rFonts w:ascii="Times New Roman" w:hAnsi="Times New Roman"/>
          <w:bCs/>
          <w:sz w:val="24"/>
          <w:szCs w:val="24"/>
        </w:rPr>
        <w:t>IPCAt</w:t>
      </w:r>
      <w:proofErr w:type="spellEnd"/>
      <w:r w:rsidRPr="00A84613">
        <w:rPr>
          <w:rFonts w:ascii="Times New Roman" w:hAnsi="Times New Roman"/>
          <w:bCs/>
          <w:sz w:val="24"/>
          <w:szCs w:val="24"/>
        </w:rPr>
        <w:t>/IPCAt-</w:t>
      </w:r>
      <w:proofErr w:type="gramStart"/>
      <w:r w:rsidRPr="00A84613">
        <w:rPr>
          <w:rFonts w:ascii="Times New Roman" w:hAnsi="Times New Roman"/>
          <w:bCs/>
          <w:sz w:val="24"/>
          <w:szCs w:val="24"/>
        </w:rPr>
        <w:t>1)×</w:t>
      </w:r>
      <w:proofErr w:type="gramEnd"/>
      <w:r w:rsidRPr="00A84613">
        <w:rPr>
          <w:rFonts w:ascii="Times New Roman" w:hAnsi="Times New Roman"/>
          <w:bCs/>
          <w:sz w:val="24"/>
          <w:szCs w:val="24"/>
        </w:rPr>
        <w:t>(1-Xt)x(1-Qt)/x(1-Qt-1)</w:t>
      </w:r>
    </w:p>
    <w:p w14:paraId="43E3C521"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140E6094"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onde:</w:t>
      </w:r>
    </w:p>
    <w:p w14:paraId="069BBC3A"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1F90A1D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roofErr w:type="spellStart"/>
      <w:r w:rsidRPr="00A84613">
        <w:rPr>
          <w:rFonts w:ascii="Times New Roman" w:hAnsi="Times New Roman"/>
          <w:bCs/>
          <w:sz w:val="24"/>
          <w:szCs w:val="24"/>
        </w:rPr>
        <w:t>Pt</w:t>
      </w:r>
      <w:proofErr w:type="spellEnd"/>
      <w:r w:rsidRPr="00A84613">
        <w:rPr>
          <w:rFonts w:ascii="Times New Roman" w:hAnsi="Times New Roman"/>
          <w:bCs/>
          <w:sz w:val="24"/>
          <w:szCs w:val="24"/>
        </w:rPr>
        <w:t xml:space="preserve"> corresponde aos tetos tarifários previstos no Anexo 4 – Tarifas, reajustados no ano t;</w:t>
      </w:r>
    </w:p>
    <w:p w14:paraId="0A9E55E2"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7751743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Pt-1 corresponde aos tetos tarifários previstos no Anexo 4 – Tarifas, reajustados no ano t-1;</w:t>
      </w:r>
    </w:p>
    <w:p w14:paraId="0AE4A69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00D7E0A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roofErr w:type="spellStart"/>
      <w:r w:rsidRPr="00A84613">
        <w:rPr>
          <w:rFonts w:ascii="Times New Roman" w:hAnsi="Times New Roman"/>
          <w:bCs/>
          <w:sz w:val="24"/>
          <w:szCs w:val="24"/>
        </w:rPr>
        <w:t>IPCAt</w:t>
      </w:r>
      <w:proofErr w:type="spellEnd"/>
      <w:r w:rsidRPr="00A84613">
        <w:rPr>
          <w:rFonts w:ascii="Times New Roman" w:hAnsi="Times New Roman"/>
          <w:bCs/>
          <w:sz w:val="24"/>
          <w:szCs w:val="24"/>
        </w:rPr>
        <w:t xml:space="preserve"> corresponde ao IPCA divulgado pelo IBGE no mês anterior ao do reajuste;</w:t>
      </w:r>
    </w:p>
    <w:p w14:paraId="74D2FCF3"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5D3EE7A5"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IPCAt-1 corresponde ao IPCA divulgado pelo IBGE no mês anterior ao do reajuste do ano anterior;</w:t>
      </w:r>
    </w:p>
    <w:p w14:paraId="51498393"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0C49880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roofErr w:type="spellStart"/>
      <w:r w:rsidRPr="00A84613">
        <w:rPr>
          <w:rFonts w:ascii="Times New Roman" w:hAnsi="Times New Roman"/>
          <w:bCs/>
          <w:sz w:val="24"/>
          <w:szCs w:val="24"/>
        </w:rPr>
        <w:t>Xt</w:t>
      </w:r>
      <w:proofErr w:type="spellEnd"/>
      <w:r w:rsidRPr="00A84613">
        <w:rPr>
          <w:rFonts w:ascii="Times New Roman" w:hAnsi="Times New Roman"/>
          <w:bCs/>
          <w:sz w:val="24"/>
          <w:szCs w:val="24"/>
        </w:rPr>
        <w:t xml:space="preserve"> é o Fator X aplicável ao ano t;</w:t>
      </w:r>
    </w:p>
    <w:p w14:paraId="7BF538E7"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0995027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Qt é o Fator Q aplicável ao ano t</w:t>
      </w:r>
    </w:p>
    <w:p w14:paraId="348D1F9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2501EE2D"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De acordo com a cláusula acima transcrita, a fórmula que se aplica ao Reajuste de 2021 é:</w:t>
      </w:r>
    </w:p>
    <w:p w14:paraId="561AF3A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630286E4"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roofErr w:type="spellStart"/>
      <w:r w:rsidRPr="00A84613">
        <w:rPr>
          <w:rFonts w:ascii="Times New Roman" w:hAnsi="Times New Roman"/>
          <w:bCs/>
          <w:sz w:val="24"/>
          <w:szCs w:val="24"/>
        </w:rPr>
        <w:t>Pt</w:t>
      </w:r>
      <w:proofErr w:type="spellEnd"/>
      <w:r w:rsidRPr="00A84613">
        <w:rPr>
          <w:rFonts w:ascii="Times New Roman" w:hAnsi="Times New Roman"/>
          <w:bCs/>
          <w:sz w:val="24"/>
          <w:szCs w:val="24"/>
        </w:rPr>
        <w:t xml:space="preserve"> = Pt-1 × (</w:t>
      </w:r>
      <w:proofErr w:type="spellStart"/>
      <w:r w:rsidRPr="00A84613">
        <w:rPr>
          <w:rFonts w:ascii="Times New Roman" w:hAnsi="Times New Roman"/>
          <w:bCs/>
          <w:sz w:val="24"/>
          <w:szCs w:val="24"/>
        </w:rPr>
        <w:t>IPCAt</w:t>
      </w:r>
      <w:proofErr w:type="spellEnd"/>
      <w:r w:rsidRPr="00A84613">
        <w:rPr>
          <w:rFonts w:ascii="Times New Roman" w:hAnsi="Times New Roman"/>
          <w:bCs/>
          <w:sz w:val="24"/>
          <w:szCs w:val="24"/>
        </w:rPr>
        <w:t>/IPCAt-</w:t>
      </w:r>
      <w:proofErr w:type="gramStart"/>
      <w:r w:rsidRPr="00A84613">
        <w:rPr>
          <w:rFonts w:ascii="Times New Roman" w:hAnsi="Times New Roman"/>
          <w:bCs/>
          <w:sz w:val="24"/>
          <w:szCs w:val="24"/>
        </w:rPr>
        <w:t>1)×</w:t>
      </w:r>
      <w:proofErr w:type="gramEnd"/>
      <w:r w:rsidRPr="00A84613">
        <w:rPr>
          <w:rFonts w:ascii="Times New Roman" w:hAnsi="Times New Roman"/>
          <w:bCs/>
          <w:sz w:val="24"/>
          <w:szCs w:val="24"/>
        </w:rPr>
        <w:t>(1-Xt)x(1-Qt)/(1-Qt-1)</w:t>
      </w:r>
    </w:p>
    <w:p w14:paraId="72FDB344"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09D31AC3"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Sendo assim, a fórmula aplicável aos tetos tarifários constantes das Tabelas 1, 1-A, 2, 3, 4 e 5, no Reajuste Tarifário de 2021 pode ser reescrita como:</w:t>
      </w:r>
    </w:p>
    <w:p w14:paraId="02B6636A"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2A10924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P2021 = P2020 x (IPCA2021/IPCA2020) x (1 - X</w:t>
      </w:r>
      <w:proofErr w:type="gramStart"/>
      <w:r w:rsidRPr="00A84613">
        <w:rPr>
          <w:rFonts w:ascii="Times New Roman" w:hAnsi="Times New Roman"/>
          <w:bCs/>
          <w:sz w:val="24"/>
          <w:szCs w:val="24"/>
        </w:rPr>
        <w:t>2021)x</w:t>
      </w:r>
      <w:proofErr w:type="gramEnd"/>
      <w:r w:rsidRPr="00A84613">
        <w:rPr>
          <w:rFonts w:ascii="Times New Roman" w:hAnsi="Times New Roman"/>
          <w:bCs/>
          <w:sz w:val="24"/>
          <w:szCs w:val="24"/>
        </w:rPr>
        <w:t xml:space="preserve"> (1 - Q2021)/(1 - Q2020)</w:t>
      </w:r>
    </w:p>
    <w:p w14:paraId="58C9880A"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4674BFF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Os tetos das tarifas referentes à atividade de armazenagem e capatazia, por sua vez, serão reajustados apenas pela inflação acumulada no período, já que os fatores X e Q não se aplicam a essas tarifas. Assim, a fórmula aplicável ao reajuste dos tetos tarifários constantes das Tabelas 7, 8, 9 e 11 é a seguinte:</w:t>
      </w:r>
    </w:p>
    <w:p w14:paraId="07F59338"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731D8410"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P2021 = P2020 × (IPCA2021/IPCA2020)</w:t>
      </w:r>
    </w:p>
    <w:p w14:paraId="4E6046E8"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5E8D1E1A"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 xml:space="preserve">Para o caso concreto, tem-se o IPCA2021 </w:t>
      </w:r>
      <w:proofErr w:type="gramStart"/>
      <w:r w:rsidRPr="00A84613">
        <w:rPr>
          <w:rFonts w:ascii="Times New Roman" w:hAnsi="Times New Roman"/>
          <w:bCs/>
          <w:sz w:val="24"/>
          <w:szCs w:val="24"/>
        </w:rPr>
        <w:t>-  relativo</w:t>
      </w:r>
      <w:proofErr w:type="gramEnd"/>
      <w:r w:rsidRPr="00A84613">
        <w:rPr>
          <w:rFonts w:ascii="Times New Roman" w:hAnsi="Times New Roman"/>
          <w:bCs/>
          <w:sz w:val="24"/>
          <w:szCs w:val="24"/>
        </w:rPr>
        <w:t xml:space="preserve"> ao nível de preços de junho de 2021 e publicado pelo IBGE em julho de 2021 - correspondente a 5.769,98 e o IPCA2020 - relativo ao nível de preços de junho de 2020 e publicado pelo IBGE em julho de 2020 - correspondente a 5.325,46, resultando em uma variação de + 8,3471% do IPCA2021 sobre o IPCA2020.</w:t>
      </w:r>
    </w:p>
    <w:p w14:paraId="66C8B3E5"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3CAA39F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O fator X relevante ao Reajuste Tarifário de 2021, conforme definido pela cláusula 6.9 do Contrato de Concessão, será X2021 = 0,0000%, e os Fatores Q relevantes serão Q2020 = -0,6000% e Q2021= -0,6000%, conforme disposto na Nota Técnica nº 23/2020/GIOS/SRA (SEI 5158617).</w:t>
      </w:r>
    </w:p>
    <w:p w14:paraId="697EE0D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43859591"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Resulta-se, com isso, em um reajuste de 8,3471% sobre os tetos tarifários constantes das Tabelas 1, 1-A, 2, 3, 4 e 5 da Portaria nº 2.074, de 17 de agosto de 2020, e em um reajuste também de 8,3471% sobre os tetos tarifários constantes das Tabelas 7, 8, 9 e 11 do mesmo normativo.</w:t>
      </w:r>
    </w:p>
    <w:p w14:paraId="76C7AB3F"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65018C57"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ARREDONDAMENTO E REAJUSTES TARIFÁRIOS</w:t>
      </w:r>
    </w:p>
    <w:p w14:paraId="0771DA93"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35DADB45"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Considerando o formato de publicação das diversas tarifas, em que pese a quantidade de casas decimais em suas publicações, esta área técnica procede a um tratamento dos dados de modo que sejam diminuídas as distorções por arredondamento no decorrer do tempo, em especial das tarifas cujos valores são pouco expressivos e que as distorções pela aplicação dos percentuais são mais significativas.</w:t>
      </w:r>
    </w:p>
    <w:p w14:paraId="281AC3CE"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25D6723B"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Neste sentido, todos os dados de tetos tarifários são armazenados com 4 casas decimais (até o centésimo de um centavo) e todos os percentuais que compõem os reajustes (IPCA, fator X, e eventuais outros) são considerados na sexta casa decimal (até 0,000001 ou 0,0001%).</w:t>
      </w:r>
    </w:p>
    <w:p w14:paraId="2EE90459" w14:textId="77777777" w:rsidR="00A84613" w:rsidRP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p>
    <w:p w14:paraId="2393C6C5" w14:textId="43A0465B" w:rsidR="00A84613" w:rsidRDefault="00A84613" w:rsidP="00A84613">
      <w:pPr>
        <w:widowControl w:val="0"/>
        <w:autoSpaceDE w:val="0"/>
        <w:autoSpaceDN w:val="0"/>
        <w:adjustRightInd w:val="0"/>
        <w:spacing w:after="0" w:line="240" w:lineRule="auto"/>
        <w:ind w:firstLine="567"/>
        <w:jc w:val="both"/>
        <w:rPr>
          <w:rFonts w:ascii="Times New Roman" w:hAnsi="Times New Roman"/>
          <w:bCs/>
          <w:sz w:val="24"/>
          <w:szCs w:val="24"/>
        </w:rPr>
      </w:pPr>
      <w:r w:rsidRPr="00A84613">
        <w:rPr>
          <w:rFonts w:ascii="Times New Roman" w:hAnsi="Times New Roman"/>
          <w:bCs/>
          <w:sz w:val="24"/>
          <w:szCs w:val="24"/>
        </w:rPr>
        <w:t>A publicação dos tetos tarifários reajustados, oriundos da aplicação dos percentuais sobre os tetos tarifários armazenados, como apresentado anteriormente, se dá pelo arredondamento na quantidade de casas decimais como apresentado no item "2.2 Tarifas Aeroportuárias" do Anexo 4 do Contrato de Concessão para cada uma das tarifas. A tabela abaixo apresenta a quantidade de casas decimais que são publicadas para os tetos tarifários reajustados.</w:t>
      </w:r>
    </w:p>
    <w:p w14:paraId="76B7F649" w14:textId="0A703793" w:rsidR="00271F8B" w:rsidRDefault="00271F8B" w:rsidP="00271F8B">
      <w:pPr>
        <w:widowControl w:val="0"/>
        <w:autoSpaceDE w:val="0"/>
        <w:autoSpaceDN w:val="0"/>
        <w:adjustRightInd w:val="0"/>
        <w:spacing w:after="0" w:line="240" w:lineRule="auto"/>
        <w:jc w:val="both"/>
        <w:rPr>
          <w:rFonts w:ascii="Times New Roman" w:hAnsi="Times New Roman"/>
          <w:bCs/>
          <w:sz w:val="24"/>
          <w:szCs w:val="24"/>
        </w:rPr>
      </w:pPr>
    </w:p>
    <w:tbl>
      <w:tblPr>
        <w:tblStyle w:val="Tabelacomgrade"/>
        <w:tblW w:w="6804" w:type="dxa"/>
        <w:jc w:val="center"/>
        <w:tblLook w:val="04A0" w:firstRow="1" w:lastRow="0" w:firstColumn="1" w:lastColumn="0" w:noHBand="0" w:noVBand="1"/>
      </w:tblPr>
      <w:tblGrid>
        <w:gridCol w:w="4544"/>
        <w:gridCol w:w="1150"/>
        <w:gridCol w:w="1110"/>
      </w:tblGrid>
      <w:tr w:rsidR="00271F8B" w:rsidRPr="00271F8B" w14:paraId="30E25F0A" w14:textId="77777777" w:rsidTr="00271F8B">
        <w:trPr>
          <w:jc w:val="center"/>
        </w:trPr>
        <w:tc>
          <w:tcPr>
            <w:tcW w:w="0" w:type="auto"/>
            <w:gridSpan w:val="3"/>
            <w:hideMark/>
          </w:tcPr>
          <w:p w14:paraId="56C724FA"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
                <w:bCs/>
                <w:sz w:val="24"/>
                <w:szCs w:val="24"/>
              </w:rPr>
              <w:t>Quantidade de casas decimais publicadas e reajuste aplicado ao teto tarifário</w:t>
            </w:r>
          </w:p>
        </w:tc>
      </w:tr>
      <w:tr w:rsidR="00271F8B" w:rsidRPr="00271F8B" w14:paraId="702F22CF" w14:textId="77777777" w:rsidTr="00271F8B">
        <w:trPr>
          <w:jc w:val="center"/>
        </w:trPr>
        <w:tc>
          <w:tcPr>
            <w:tcW w:w="0" w:type="auto"/>
            <w:hideMark/>
          </w:tcPr>
          <w:p w14:paraId="7764E2C3"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
                <w:bCs/>
                <w:sz w:val="24"/>
                <w:szCs w:val="24"/>
              </w:rPr>
              <w:t>Tarifas</w:t>
            </w:r>
          </w:p>
        </w:tc>
        <w:tc>
          <w:tcPr>
            <w:tcW w:w="0" w:type="auto"/>
            <w:hideMark/>
          </w:tcPr>
          <w:p w14:paraId="745C54C3"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
                <w:bCs/>
                <w:sz w:val="24"/>
                <w:szCs w:val="24"/>
              </w:rPr>
              <w:t>Decimais</w:t>
            </w:r>
          </w:p>
        </w:tc>
        <w:tc>
          <w:tcPr>
            <w:tcW w:w="0" w:type="auto"/>
            <w:hideMark/>
          </w:tcPr>
          <w:p w14:paraId="152CBBD9"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
                <w:bCs/>
                <w:sz w:val="24"/>
                <w:szCs w:val="24"/>
              </w:rPr>
              <w:t>Reajuste</w:t>
            </w:r>
          </w:p>
        </w:tc>
      </w:tr>
      <w:tr w:rsidR="00271F8B" w:rsidRPr="00271F8B" w14:paraId="77DE88D5" w14:textId="77777777" w:rsidTr="00271F8B">
        <w:trPr>
          <w:jc w:val="center"/>
        </w:trPr>
        <w:tc>
          <w:tcPr>
            <w:tcW w:w="0" w:type="auto"/>
            <w:hideMark/>
          </w:tcPr>
          <w:p w14:paraId="5B575B21"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1 - Tarifa de Embarque do Grupo I</w:t>
            </w:r>
          </w:p>
        </w:tc>
        <w:tc>
          <w:tcPr>
            <w:tcW w:w="0" w:type="auto"/>
            <w:hideMark/>
          </w:tcPr>
          <w:p w14:paraId="414FEB9D"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2</w:t>
            </w:r>
          </w:p>
        </w:tc>
        <w:tc>
          <w:tcPr>
            <w:tcW w:w="0" w:type="auto"/>
            <w:hideMark/>
          </w:tcPr>
          <w:p w14:paraId="320EABB8"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40B7C98C" w14:textId="77777777" w:rsidTr="00271F8B">
        <w:trPr>
          <w:jc w:val="center"/>
        </w:trPr>
        <w:tc>
          <w:tcPr>
            <w:tcW w:w="0" w:type="auto"/>
            <w:hideMark/>
          </w:tcPr>
          <w:p w14:paraId="2F344F29"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1-A - Tarifa de Conexão</w:t>
            </w:r>
          </w:p>
        </w:tc>
        <w:tc>
          <w:tcPr>
            <w:tcW w:w="0" w:type="auto"/>
            <w:hideMark/>
          </w:tcPr>
          <w:p w14:paraId="04CDB46F"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2</w:t>
            </w:r>
          </w:p>
        </w:tc>
        <w:tc>
          <w:tcPr>
            <w:tcW w:w="0" w:type="auto"/>
            <w:hideMark/>
          </w:tcPr>
          <w:p w14:paraId="628FC650"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39E92951" w14:textId="77777777" w:rsidTr="00271F8B">
        <w:trPr>
          <w:jc w:val="center"/>
        </w:trPr>
        <w:tc>
          <w:tcPr>
            <w:tcW w:w="0" w:type="auto"/>
            <w:hideMark/>
          </w:tcPr>
          <w:p w14:paraId="65BBDB92"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2 - Tarifa de Pouso aplicável ao Grupo I</w:t>
            </w:r>
          </w:p>
        </w:tc>
        <w:tc>
          <w:tcPr>
            <w:tcW w:w="0" w:type="auto"/>
            <w:hideMark/>
          </w:tcPr>
          <w:p w14:paraId="72E35677"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1678F8B0"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10D0D7E9" w14:textId="77777777" w:rsidTr="00271F8B">
        <w:trPr>
          <w:jc w:val="center"/>
        </w:trPr>
        <w:tc>
          <w:tcPr>
            <w:tcW w:w="0" w:type="auto"/>
            <w:hideMark/>
          </w:tcPr>
          <w:p w14:paraId="40E2D6CD"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3 - Tarifa Unificada de Embarque e Pouso aplicável ao Grupo II</w:t>
            </w:r>
          </w:p>
        </w:tc>
        <w:tc>
          <w:tcPr>
            <w:tcW w:w="0" w:type="auto"/>
            <w:hideMark/>
          </w:tcPr>
          <w:p w14:paraId="59575029"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2</w:t>
            </w:r>
          </w:p>
        </w:tc>
        <w:tc>
          <w:tcPr>
            <w:tcW w:w="0" w:type="auto"/>
            <w:hideMark/>
          </w:tcPr>
          <w:p w14:paraId="05AB1EFF"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5A015FBF" w14:textId="77777777" w:rsidTr="00271F8B">
        <w:trPr>
          <w:jc w:val="center"/>
        </w:trPr>
        <w:tc>
          <w:tcPr>
            <w:tcW w:w="0" w:type="auto"/>
            <w:hideMark/>
          </w:tcPr>
          <w:p w14:paraId="36F7ACC2"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4 - Tarifas de Permanência aplicáveis ao Grupo I</w:t>
            </w:r>
          </w:p>
        </w:tc>
        <w:tc>
          <w:tcPr>
            <w:tcW w:w="0" w:type="auto"/>
            <w:hideMark/>
          </w:tcPr>
          <w:p w14:paraId="56AB6145"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07BF8942"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73C890A3" w14:textId="77777777" w:rsidTr="00271F8B">
        <w:trPr>
          <w:jc w:val="center"/>
        </w:trPr>
        <w:tc>
          <w:tcPr>
            <w:tcW w:w="0" w:type="auto"/>
            <w:hideMark/>
          </w:tcPr>
          <w:p w14:paraId="01C31A20"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5 - Tarifas de Permanência aplicáveis ao Grupo II</w:t>
            </w:r>
          </w:p>
        </w:tc>
        <w:tc>
          <w:tcPr>
            <w:tcW w:w="0" w:type="auto"/>
            <w:hideMark/>
          </w:tcPr>
          <w:p w14:paraId="34CDFB24"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5D2872CA"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705ED899" w14:textId="77777777" w:rsidTr="00271F8B">
        <w:trPr>
          <w:jc w:val="center"/>
        </w:trPr>
        <w:tc>
          <w:tcPr>
            <w:tcW w:w="0" w:type="auto"/>
            <w:hideMark/>
          </w:tcPr>
          <w:p w14:paraId="7061B493"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6 - Tarifa de Armazenagem da Carga Importada</w:t>
            </w:r>
          </w:p>
        </w:tc>
        <w:tc>
          <w:tcPr>
            <w:tcW w:w="0" w:type="auto"/>
            <w:hideMark/>
          </w:tcPr>
          <w:p w14:paraId="6F5952E0"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50CD55B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0,0000%</w:t>
            </w:r>
          </w:p>
        </w:tc>
      </w:tr>
      <w:tr w:rsidR="00271F8B" w:rsidRPr="00271F8B" w14:paraId="44CAED30" w14:textId="77777777" w:rsidTr="00271F8B">
        <w:trPr>
          <w:jc w:val="center"/>
        </w:trPr>
        <w:tc>
          <w:tcPr>
            <w:tcW w:w="0" w:type="auto"/>
            <w:hideMark/>
          </w:tcPr>
          <w:p w14:paraId="01A8547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7 - Tarifa de Capatazia da Carga Importada</w:t>
            </w:r>
          </w:p>
        </w:tc>
        <w:tc>
          <w:tcPr>
            <w:tcW w:w="0" w:type="auto"/>
            <w:hideMark/>
          </w:tcPr>
          <w:p w14:paraId="31BD9F91"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529F4FF3"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099BCFE7" w14:textId="77777777" w:rsidTr="00271F8B">
        <w:trPr>
          <w:jc w:val="center"/>
        </w:trPr>
        <w:tc>
          <w:tcPr>
            <w:tcW w:w="0" w:type="auto"/>
            <w:hideMark/>
          </w:tcPr>
          <w:p w14:paraId="37FA2CBF"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8 - Tarifas de Armazenagem e Capatazia da Carga Importada Aplicada em Casos Especiais</w:t>
            </w:r>
          </w:p>
        </w:tc>
        <w:tc>
          <w:tcPr>
            <w:tcW w:w="0" w:type="auto"/>
            <w:hideMark/>
          </w:tcPr>
          <w:p w14:paraId="13935AD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17113145"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4712648A" w14:textId="77777777" w:rsidTr="00271F8B">
        <w:trPr>
          <w:jc w:val="center"/>
        </w:trPr>
        <w:tc>
          <w:tcPr>
            <w:tcW w:w="0" w:type="auto"/>
            <w:hideMark/>
          </w:tcPr>
          <w:p w14:paraId="39838E5C"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9 - Tarifa de Capatazia da Carga Importada em Trânsito</w:t>
            </w:r>
          </w:p>
        </w:tc>
        <w:tc>
          <w:tcPr>
            <w:tcW w:w="0" w:type="auto"/>
            <w:hideMark/>
          </w:tcPr>
          <w:p w14:paraId="06F9372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21C614A3"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063A0B9E" w14:textId="77777777" w:rsidTr="00271F8B">
        <w:trPr>
          <w:jc w:val="center"/>
        </w:trPr>
        <w:tc>
          <w:tcPr>
            <w:tcW w:w="0" w:type="auto"/>
            <w:hideMark/>
          </w:tcPr>
          <w:p w14:paraId="27A7EC3C"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 xml:space="preserve">Tabela 10 - Tarifas de Armazenagem e Capatazia da Carga Importada de Alto Valor </w:t>
            </w:r>
            <w:r w:rsidRPr="00271F8B">
              <w:rPr>
                <w:rFonts w:ascii="Times New Roman" w:hAnsi="Times New Roman"/>
                <w:bCs/>
                <w:sz w:val="24"/>
                <w:szCs w:val="24"/>
              </w:rPr>
              <w:lastRenderedPageBreak/>
              <w:t>Específico</w:t>
            </w:r>
          </w:p>
        </w:tc>
        <w:tc>
          <w:tcPr>
            <w:tcW w:w="0" w:type="auto"/>
            <w:hideMark/>
          </w:tcPr>
          <w:p w14:paraId="701E7510"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lastRenderedPageBreak/>
              <w:t>4</w:t>
            </w:r>
          </w:p>
        </w:tc>
        <w:tc>
          <w:tcPr>
            <w:tcW w:w="0" w:type="auto"/>
            <w:hideMark/>
          </w:tcPr>
          <w:p w14:paraId="5B7DDAA6"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0,0000%</w:t>
            </w:r>
          </w:p>
        </w:tc>
      </w:tr>
      <w:tr w:rsidR="00271F8B" w:rsidRPr="00271F8B" w14:paraId="72A532C0" w14:textId="77777777" w:rsidTr="00271F8B">
        <w:trPr>
          <w:jc w:val="center"/>
        </w:trPr>
        <w:tc>
          <w:tcPr>
            <w:tcW w:w="0" w:type="auto"/>
            <w:hideMark/>
          </w:tcPr>
          <w:p w14:paraId="7BDC62C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11 - Tarifas de Armazenagem e Capatazia da Carga Destinada à Exportação</w:t>
            </w:r>
          </w:p>
        </w:tc>
        <w:tc>
          <w:tcPr>
            <w:tcW w:w="0" w:type="auto"/>
            <w:hideMark/>
          </w:tcPr>
          <w:p w14:paraId="50C70101"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7D7E558E"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8,3471%</w:t>
            </w:r>
          </w:p>
        </w:tc>
      </w:tr>
      <w:tr w:rsidR="00271F8B" w:rsidRPr="00271F8B" w14:paraId="7AAA2FBA" w14:textId="77777777" w:rsidTr="00271F8B">
        <w:trPr>
          <w:jc w:val="center"/>
        </w:trPr>
        <w:tc>
          <w:tcPr>
            <w:tcW w:w="0" w:type="auto"/>
            <w:hideMark/>
          </w:tcPr>
          <w:p w14:paraId="4698EDDB"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Tabela 12 - Tarifas de Armazenagem e de Capatazia da Carga sob Pena de Perdimento</w:t>
            </w:r>
          </w:p>
        </w:tc>
        <w:tc>
          <w:tcPr>
            <w:tcW w:w="0" w:type="auto"/>
            <w:hideMark/>
          </w:tcPr>
          <w:p w14:paraId="73E9B901"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4</w:t>
            </w:r>
          </w:p>
        </w:tc>
        <w:tc>
          <w:tcPr>
            <w:tcW w:w="0" w:type="auto"/>
            <w:hideMark/>
          </w:tcPr>
          <w:p w14:paraId="686B6262" w14:textId="77777777" w:rsidR="00271F8B" w:rsidRPr="00271F8B" w:rsidRDefault="00271F8B" w:rsidP="00271F8B">
            <w:pPr>
              <w:widowControl w:val="0"/>
              <w:autoSpaceDE w:val="0"/>
              <w:autoSpaceDN w:val="0"/>
              <w:adjustRightInd w:val="0"/>
              <w:jc w:val="both"/>
              <w:rPr>
                <w:rFonts w:ascii="Times New Roman" w:hAnsi="Times New Roman"/>
                <w:bCs/>
                <w:sz w:val="24"/>
                <w:szCs w:val="24"/>
              </w:rPr>
            </w:pPr>
            <w:r w:rsidRPr="00271F8B">
              <w:rPr>
                <w:rFonts w:ascii="Times New Roman" w:hAnsi="Times New Roman"/>
                <w:bCs/>
                <w:sz w:val="24"/>
                <w:szCs w:val="24"/>
              </w:rPr>
              <w:t>0,0000%</w:t>
            </w:r>
          </w:p>
        </w:tc>
      </w:tr>
    </w:tbl>
    <w:p w14:paraId="0E10A8FE" w14:textId="77777777" w:rsidR="00271F8B" w:rsidRPr="00A84613" w:rsidRDefault="00271F8B" w:rsidP="00271F8B">
      <w:pPr>
        <w:widowControl w:val="0"/>
        <w:autoSpaceDE w:val="0"/>
        <w:autoSpaceDN w:val="0"/>
        <w:adjustRightInd w:val="0"/>
        <w:spacing w:after="0" w:line="240" w:lineRule="auto"/>
        <w:jc w:val="both"/>
        <w:rPr>
          <w:rFonts w:ascii="Times New Roman" w:hAnsi="Times New Roman"/>
          <w:bCs/>
          <w:sz w:val="24"/>
          <w:szCs w:val="24"/>
        </w:rPr>
      </w:pPr>
    </w:p>
    <w:sectPr w:rsidR="00271F8B" w:rsidRPr="00A84613" w:rsidSect="00005472">
      <w:headerReference w:type="even" r:id="rId7"/>
      <w:headerReference w:type="default" r:id="rId8"/>
      <w:footerReference w:type="even" r:id="rId9"/>
      <w:footerReference w:type="default" r:id="rId10"/>
      <w:headerReference w:type="first" r:id="rId11"/>
      <w:footerReference w:type="first" r:id="rId12"/>
      <w:pgSz w:w="11907" w:h="16443"/>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586CF" w14:textId="77777777" w:rsidR="00FD292D" w:rsidRDefault="00FD292D" w:rsidP="002A005A">
      <w:pPr>
        <w:spacing w:after="0" w:line="240" w:lineRule="auto"/>
      </w:pPr>
      <w:r>
        <w:separator/>
      </w:r>
    </w:p>
  </w:endnote>
  <w:endnote w:type="continuationSeparator" w:id="0">
    <w:p w14:paraId="2BC94D57" w14:textId="77777777" w:rsidR="00FD292D" w:rsidRDefault="00FD292D" w:rsidP="002A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7620" w14:textId="77777777" w:rsidR="00DF738A" w:rsidRDefault="00DF73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92CE" w14:textId="77777777" w:rsidR="00643261" w:rsidRPr="00643261" w:rsidRDefault="00643261" w:rsidP="00643261">
    <w:pPr>
      <w:pStyle w:val="Rodap"/>
      <w:jc w:val="center"/>
      <w:rPr>
        <w:rFonts w:ascii="Times New Roman" w:hAnsi="Times New Roman"/>
        <w:sz w:val="24"/>
        <w:szCs w:val="24"/>
      </w:rPr>
    </w:pPr>
    <w:r w:rsidRPr="00643261">
      <w:rPr>
        <w:rFonts w:ascii="Times New Roman" w:hAnsi="Times New Roman"/>
        <w:sz w:val="24"/>
        <w:szCs w:val="24"/>
      </w:rPr>
      <w:t>_______________________________________________________________________________</w:t>
    </w:r>
  </w:p>
  <w:p w14:paraId="4638D0E9" w14:textId="178BA82F" w:rsidR="00643261" w:rsidRPr="00643261" w:rsidRDefault="00643261" w:rsidP="00643261">
    <w:pPr>
      <w:pStyle w:val="Rodap"/>
      <w:jc w:val="center"/>
      <w:rPr>
        <w:rFonts w:ascii="Times New Roman" w:hAnsi="Times New Roman"/>
        <w:sz w:val="24"/>
        <w:szCs w:val="24"/>
      </w:rPr>
    </w:pPr>
    <w:r w:rsidRPr="00CC33F5">
      <w:rPr>
        <w:rFonts w:ascii="Times New Roman" w:hAnsi="Times New Roman"/>
        <w:i/>
        <w:sz w:val="24"/>
        <w:szCs w:val="24"/>
      </w:rPr>
      <w:t xml:space="preserve">Publicado no Diário Oficial da União de </w:t>
    </w:r>
    <w:r w:rsidR="00DF738A">
      <w:rPr>
        <w:rFonts w:ascii="Times New Roman" w:hAnsi="Times New Roman"/>
        <w:i/>
        <w:sz w:val="24"/>
        <w:szCs w:val="24"/>
      </w:rPr>
      <w:t>27</w:t>
    </w:r>
    <w:r w:rsidRPr="00CC33F5">
      <w:rPr>
        <w:rFonts w:ascii="Times New Roman" w:hAnsi="Times New Roman"/>
        <w:i/>
        <w:sz w:val="24"/>
        <w:szCs w:val="24"/>
      </w:rPr>
      <w:t xml:space="preserve"> de </w:t>
    </w:r>
    <w:r w:rsidR="00F42BA5" w:rsidRPr="00CC33F5">
      <w:rPr>
        <w:rFonts w:ascii="Times New Roman" w:hAnsi="Times New Roman"/>
        <w:i/>
        <w:sz w:val="24"/>
        <w:szCs w:val="24"/>
      </w:rPr>
      <w:t>agosto</w:t>
    </w:r>
    <w:r w:rsidRPr="00CC33F5">
      <w:rPr>
        <w:rFonts w:ascii="Times New Roman" w:hAnsi="Times New Roman"/>
        <w:i/>
        <w:sz w:val="24"/>
        <w:szCs w:val="24"/>
      </w:rPr>
      <w:t xml:space="preserve"> de 2021, Seção 1, página</w:t>
    </w:r>
    <w:r w:rsidR="00DF738A">
      <w:rPr>
        <w:rFonts w:ascii="Times New Roman" w:hAnsi="Times New Roman"/>
        <w:i/>
        <w:sz w:val="24"/>
        <w:szCs w:val="24"/>
      </w:rPr>
      <w:t xml:space="preserve"> 9</w:t>
    </w:r>
    <w:r w:rsidR="00CB4BA7">
      <w:rPr>
        <w:rFonts w:ascii="Times New Roman" w:hAnsi="Times New Roman"/>
        <w:i/>
        <w:sz w:val="24"/>
        <w:szCs w:val="24"/>
      </w:rPr>
      <w:t xml:space="preserve">4 e </w:t>
    </w:r>
    <w:r w:rsidR="00CB4BA7">
      <w:rPr>
        <w:rFonts w:ascii="Times New Roman" w:hAnsi="Times New Roman"/>
        <w:i/>
        <w:sz w:val="24"/>
        <w:szCs w:val="24"/>
      </w:rPr>
      <w:t>95</w:t>
    </w:r>
    <w:bookmarkStart w:id="0" w:name="_GoBack"/>
    <w:bookmarkEnd w:id="0"/>
    <w:r w:rsidRPr="00643261">
      <w:rPr>
        <w:rFonts w:ascii="Times New Roman" w:hAnsi="Times New Roman"/>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2D59" w14:textId="77777777" w:rsidR="00DF738A" w:rsidRDefault="00DF73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D962" w14:textId="77777777" w:rsidR="00FD292D" w:rsidRDefault="00FD292D" w:rsidP="002A005A">
      <w:pPr>
        <w:spacing w:after="0" w:line="240" w:lineRule="auto"/>
      </w:pPr>
      <w:r>
        <w:separator/>
      </w:r>
    </w:p>
  </w:footnote>
  <w:footnote w:type="continuationSeparator" w:id="0">
    <w:p w14:paraId="73646116" w14:textId="77777777" w:rsidR="00FD292D" w:rsidRDefault="00FD292D" w:rsidP="002A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B073" w14:textId="77777777" w:rsidR="00DF738A" w:rsidRDefault="00DF73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3EE" w14:textId="77777777" w:rsidR="00DF738A" w:rsidRDefault="00DF738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8B8F" w14:textId="77777777" w:rsidR="00DF738A" w:rsidRDefault="00DF738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89"/>
    <w:rsid w:val="00005472"/>
    <w:rsid w:val="00022551"/>
    <w:rsid w:val="00040277"/>
    <w:rsid w:val="000724B1"/>
    <w:rsid w:val="00095C25"/>
    <w:rsid w:val="000B49DD"/>
    <w:rsid w:val="000B4FBF"/>
    <w:rsid w:val="000B54A7"/>
    <w:rsid w:val="000E3A16"/>
    <w:rsid w:val="000E5AE7"/>
    <w:rsid w:val="000F6281"/>
    <w:rsid w:val="001116E7"/>
    <w:rsid w:val="00123B49"/>
    <w:rsid w:val="00140A05"/>
    <w:rsid w:val="00162CC2"/>
    <w:rsid w:val="001D51FA"/>
    <w:rsid w:val="001F67E3"/>
    <w:rsid w:val="00264DD3"/>
    <w:rsid w:val="00271F8B"/>
    <w:rsid w:val="002A005A"/>
    <w:rsid w:val="002D3B29"/>
    <w:rsid w:val="002D7D52"/>
    <w:rsid w:val="002F3304"/>
    <w:rsid w:val="00320649"/>
    <w:rsid w:val="00364E6D"/>
    <w:rsid w:val="00375A3E"/>
    <w:rsid w:val="003B0C50"/>
    <w:rsid w:val="003E4DCC"/>
    <w:rsid w:val="003E712A"/>
    <w:rsid w:val="00421780"/>
    <w:rsid w:val="004472A6"/>
    <w:rsid w:val="00504DB3"/>
    <w:rsid w:val="005076F7"/>
    <w:rsid w:val="005209DF"/>
    <w:rsid w:val="00540CFE"/>
    <w:rsid w:val="00554710"/>
    <w:rsid w:val="005955B9"/>
    <w:rsid w:val="005A5CD9"/>
    <w:rsid w:val="005B0205"/>
    <w:rsid w:val="005F10B8"/>
    <w:rsid w:val="005F7C3B"/>
    <w:rsid w:val="006054AE"/>
    <w:rsid w:val="00613E4E"/>
    <w:rsid w:val="00623113"/>
    <w:rsid w:val="0063632C"/>
    <w:rsid w:val="0064010E"/>
    <w:rsid w:val="00643261"/>
    <w:rsid w:val="006471A2"/>
    <w:rsid w:val="00666B00"/>
    <w:rsid w:val="006947F3"/>
    <w:rsid w:val="006A5A0B"/>
    <w:rsid w:val="006E43BB"/>
    <w:rsid w:val="00783401"/>
    <w:rsid w:val="007876FD"/>
    <w:rsid w:val="00813959"/>
    <w:rsid w:val="008536E2"/>
    <w:rsid w:val="008727CD"/>
    <w:rsid w:val="008D6B3A"/>
    <w:rsid w:val="009019D2"/>
    <w:rsid w:val="009C18A6"/>
    <w:rsid w:val="00A760F3"/>
    <w:rsid w:val="00A84613"/>
    <w:rsid w:val="00A97CB2"/>
    <w:rsid w:val="00AC7570"/>
    <w:rsid w:val="00AE41EC"/>
    <w:rsid w:val="00B40CE2"/>
    <w:rsid w:val="00B424E4"/>
    <w:rsid w:val="00BC7740"/>
    <w:rsid w:val="00BD73E6"/>
    <w:rsid w:val="00C21BAD"/>
    <w:rsid w:val="00C37F19"/>
    <w:rsid w:val="00C646AB"/>
    <w:rsid w:val="00CB4BA7"/>
    <w:rsid w:val="00CC33F5"/>
    <w:rsid w:val="00D31D6B"/>
    <w:rsid w:val="00D76DAB"/>
    <w:rsid w:val="00DA78F3"/>
    <w:rsid w:val="00DF738A"/>
    <w:rsid w:val="00E11097"/>
    <w:rsid w:val="00E23DCB"/>
    <w:rsid w:val="00E71B14"/>
    <w:rsid w:val="00E80EAA"/>
    <w:rsid w:val="00E80EF5"/>
    <w:rsid w:val="00E87C24"/>
    <w:rsid w:val="00E911B5"/>
    <w:rsid w:val="00E9313E"/>
    <w:rsid w:val="00EB3242"/>
    <w:rsid w:val="00EB53B3"/>
    <w:rsid w:val="00ED7170"/>
    <w:rsid w:val="00F07926"/>
    <w:rsid w:val="00F42BA5"/>
    <w:rsid w:val="00F4709C"/>
    <w:rsid w:val="00FC2889"/>
    <w:rsid w:val="00FD292D"/>
    <w:rsid w:val="00FE0CFF"/>
    <w:rsid w:val="00FF2374"/>
    <w:rsid w:val="00FF4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9AB782"/>
  <w14:defaultImageDpi w14:val="0"/>
  <w15:docId w15:val="{4815D668-4919-4B6D-84A6-5C4BF38A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00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005A"/>
  </w:style>
  <w:style w:type="paragraph" w:styleId="Rodap">
    <w:name w:val="footer"/>
    <w:basedOn w:val="Normal"/>
    <w:link w:val="RodapChar"/>
    <w:uiPriority w:val="99"/>
    <w:unhideWhenUsed/>
    <w:rsid w:val="002A005A"/>
    <w:pPr>
      <w:tabs>
        <w:tab w:val="center" w:pos="4252"/>
        <w:tab w:val="right" w:pos="8504"/>
      </w:tabs>
      <w:spacing w:after="0" w:line="240" w:lineRule="auto"/>
    </w:pPr>
  </w:style>
  <w:style w:type="character" w:customStyle="1" w:styleId="RodapChar">
    <w:name w:val="Rodapé Char"/>
    <w:basedOn w:val="Fontepargpadro"/>
    <w:link w:val="Rodap"/>
    <w:uiPriority w:val="99"/>
    <w:rsid w:val="002A005A"/>
  </w:style>
  <w:style w:type="paragraph" w:customStyle="1" w:styleId="Default">
    <w:name w:val="Default"/>
    <w:rsid w:val="002A005A"/>
    <w:pPr>
      <w:autoSpaceDE w:val="0"/>
      <w:autoSpaceDN w:val="0"/>
      <w:adjustRightInd w:val="0"/>
      <w:spacing w:after="0" w:line="240" w:lineRule="auto"/>
    </w:pPr>
    <w:rPr>
      <w:rFonts w:ascii="Times New Roman" w:eastAsia="Times New Roman" w:hAnsi="Times New Roman"/>
      <w:color w:val="000000"/>
      <w:sz w:val="24"/>
      <w:szCs w:val="24"/>
    </w:rPr>
  </w:style>
  <w:style w:type="table" w:styleId="Tabelacomgrade">
    <w:name w:val="Table Grid"/>
    <w:basedOn w:val="Tabelanormal"/>
    <w:uiPriority w:val="39"/>
    <w:rsid w:val="00A8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158">
      <w:bodyDiv w:val="1"/>
      <w:marLeft w:val="0"/>
      <w:marRight w:val="0"/>
      <w:marTop w:val="0"/>
      <w:marBottom w:val="0"/>
      <w:divBdr>
        <w:top w:val="none" w:sz="0" w:space="0" w:color="auto"/>
        <w:left w:val="none" w:sz="0" w:space="0" w:color="auto"/>
        <w:bottom w:val="none" w:sz="0" w:space="0" w:color="auto"/>
        <w:right w:val="none" w:sz="0" w:space="0" w:color="auto"/>
      </w:divBdr>
    </w:div>
    <w:div w:id="102189189">
      <w:bodyDiv w:val="1"/>
      <w:marLeft w:val="0"/>
      <w:marRight w:val="0"/>
      <w:marTop w:val="0"/>
      <w:marBottom w:val="0"/>
      <w:divBdr>
        <w:top w:val="none" w:sz="0" w:space="0" w:color="auto"/>
        <w:left w:val="none" w:sz="0" w:space="0" w:color="auto"/>
        <w:bottom w:val="none" w:sz="0" w:space="0" w:color="auto"/>
        <w:right w:val="none" w:sz="0" w:space="0" w:color="auto"/>
      </w:divBdr>
    </w:div>
    <w:div w:id="406810120">
      <w:bodyDiv w:val="1"/>
      <w:marLeft w:val="0"/>
      <w:marRight w:val="0"/>
      <w:marTop w:val="0"/>
      <w:marBottom w:val="0"/>
      <w:divBdr>
        <w:top w:val="none" w:sz="0" w:space="0" w:color="auto"/>
        <w:left w:val="none" w:sz="0" w:space="0" w:color="auto"/>
        <w:bottom w:val="none" w:sz="0" w:space="0" w:color="auto"/>
        <w:right w:val="none" w:sz="0" w:space="0" w:color="auto"/>
      </w:divBdr>
      <w:divsChild>
        <w:div w:id="241646787">
          <w:marLeft w:val="120"/>
          <w:marRight w:val="120"/>
          <w:marTop w:val="120"/>
          <w:marBottom w:val="120"/>
          <w:divBdr>
            <w:top w:val="none" w:sz="0" w:space="0" w:color="auto"/>
            <w:left w:val="none" w:sz="0" w:space="0" w:color="auto"/>
            <w:bottom w:val="none" w:sz="0" w:space="0" w:color="auto"/>
            <w:right w:val="none" w:sz="0" w:space="0" w:color="auto"/>
          </w:divBdr>
        </w:div>
        <w:div w:id="82915359">
          <w:marLeft w:val="120"/>
          <w:marRight w:val="120"/>
          <w:marTop w:val="120"/>
          <w:marBottom w:val="120"/>
          <w:divBdr>
            <w:top w:val="none" w:sz="0" w:space="0" w:color="auto"/>
            <w:left w:val="none" w:sz="0" w:space="0" w:color="auto"/>
            <w:bottom w:val="none" w:sz="0" w:space="0" w:color="auto"/>
            <w:right w:val="none" w:sz="0" w:space="0" w:color="auto"/>
          </w:divBdr>
        </w:div>
        <w:div w:id="178810758">
          <w:marLeft w:val="120"/>
          <w:marRight w:val="120"/>
          <w:marTop w:val="120"/>
          <w:marBottom w:val="120"/>
          <w:divBdr>
            <w:top w:val="none" w:sz="0" w:space="0" w:color="auto"/>
            <w:left w:val="none" w:sz="0" w:space="0" w:color="auto"/>
            <w:bottom w:val="none" w:sz="0" w:space="0" w:color="auto"/>
            <w:right w:val="none" w:sz="0" w:space="0" w:color="auto"/>
          </w:divBdr>
        </w:div>
        <w:div w:id="917253148">
          <w:marLeft w:val="120"/>
          <w:marRight w:val="120"/>
          <w:marTop w:val="120"/>
          <w:marBottom w:val="120"/>
          <w:divBdr>
            <w:top w:val="none" w:sz="0" w:space="0" w:color="auto"/>
            <w:left w:val="none" w:sz="0" w:space="0" w:color="auto"/>
            <w:bottom w:val="none" w:sz="0" w:space="0" w:color="auto"/>
            <w:right w:val="none" w:sz="0" w:space="0" w:color="auto"/>
          </w:divBdr>
        </w:div>
        <w:div w:id="1823308937">
          <w:marLeft w:val="120"/>
          <w:marRight w:val="120"/>
          <w:marTop w:val="120"/>
          <w:marBottom w:val="120"/>
          <w:divBdr>
            <w:top w:val="none" w:sz="0" w:space="0" w:color="auto"/>
            <w:left w:val="none" w:sz="0" w:space="0" w:color="auto"/>
            <w:bottom w:val="none" w:sz="0" w:space="0" w:color="auto"/>
            <w:right w:val="none" w:sz="0" w:space="0" w:color="auto"/>
          </w:divBdr>
        </w:div>
        <w:div w:id="273562605">
          <w:marLeft w:val="120"/>
          <w:marRight w:val="120"/>
          <w:marTop w:val="120"/>
          <w:marBottom w:val="120"/>
          <w:divBdr>
            <w:top w:val="none" w:sz="0" w:space="0" w:color="auto"/>
            <w:left w:val="none" w:sz="0" w:space="0" w:color="auto"/>
            <w:bottom w:val="none" w:sz="0" w:space="0" w:color="auto"/>
            <w:right w:val="none" w:sz="0" w:space="0" w:color="auto"/>
          </w:divBdr>
        </w:div>
        <w:div w:id="1918829994">
          <w:marLeft w:val="120"/>
          <w:marRight w:val="120"/>
          <w:marTop w:val="120"/>
          <w:marBottom w:val="120"/>
          <w:divBdr>
            <w:top w:val="none" w:sz="0" w:space="0" w:color="auto"/>
            <w:left w:val="none" w:sz="0" w:space="0" w:color="auto"/>
            <w:bottom w:val="none" w:sz="0" w:space="0" w:color="auto"/>
            <w:right w:val="none" w:sz="0" w:space="0" w:color="auto"/>
          </w:divBdr>
        </w:div>
        <w:div w:id="414475031">
          <w:marLeft w:val="120"/>
          <w:marRight w:val="120"/>
          <w:marTop w:val="120"/>
          <w:marBottom w:val="120"/>
          <w:divBdr>
            <w:top w:val="none" w:sz="0" w:space="0" w:color="auto"/>
            <w:left w:val="none" w:sz="0" w:space="0" w:color="auto"/>
            <w:bottom w:val="none" w:sz="0" w:space="0" w:color="auto"/>
            <w:right w:val="none" w:sz="0" w:space="0" w:color="auto"/>
          </w:divBdr>
        </w:div>
        <w:div w:id="531846710">
          <w:marLeft w:val="120"/>
          <w:marRight w:val="120"/>
          <w:marTop w:val="120"/>
          <w:marBottom w:val="120"/>
          <w:divBdr>
            <w:top w:val="none" w:sz="0" w:space="0" w:color="auto"/>
            <w:left w:val="none" w:sz="0" w:space="0" w:color="auto"/>
            <w:bottom w:val="none" w:sz="0" w:space="0" w:color="auto"/>
            <w:right w:val="none" w:sz="0" w:space="0" w:color="auto"/>
          </w:divBdr>
        </w:div>
        <w:div w:id="674577451">
          <w:marLeft w:val="120"/>
          <w:marRight w:val="120"/>
          <w:marTop w:val="120"/>
          <w:marBottom w:val="120"/>
          <w:divBdr>
            <w:top w:val="none" w:sz="0" w:space="0" w:color="auto"/>
            <w:left w:val="none" w:sz="0" w:space="0" w:color="auto"/>
            <w:bottom w:val="none" w:sz="0" w:space="0" w:color="auto"/>
            <w:right w:val="none" w:sz="0" w:space="0" w:color="auto"/>
          </w:divBdr>
        </w:div>
        <w:div w:id="1848790049">
          <w:marLeft w:val="120"/>
          <w:marRight w:val="120"/>
          <w:marTop w:val="120"/>
          <w:marBottom w:val="120"/>
          <w:divBdr>
            <w:top w:val="none" w:sz="0" w:space="0" w:color="auto"/>
            <w:left w:val="none" w:sz="0" w:space="0" w:color="auto"/>
            <w:bottom w:val="none" w:sz="0" w:space="0" w:color="auto"/>
            <w:right w:val="none" w:sz="0" w:space="0" w:color="auto"/>
          </w:divBdr>
        </w:div>
        <w:div w:id="891886543">
          <w:marLeft w:val="120"/>
          <w:marRight w:val="120"/>
          <w:marTop w:val="120"/>
          <w:marBottom w:val="120"/>
          <w:divBdr>
            <w:top w:val="none" w:sz="0" w:space="0" w:color="auto"/>
            <w:left w:val="none" w:sz="0" w:space="0" w:color="auto"/>
            <w:bottom w:val="none" w:sz="0" w:space="0" w:color="auto"/>
            <w:right w:val="none" w:sz="0" w:space="0" w:color="auto"/>
          </w:divBdr>
        </w:div>
        <w:div w:id="1475294609">
          <w:marLeft w:val="120"/>
          <w:marRight w:val="120"/>
          <w:marTop w:val="120"/>
          <w:marBottom w:val="120"/>
          <w:divBdr>
            <w:top w:val="none" w:sz="0" w:space="0" w:color="auto"/>
            <w:left w:val="none" w:sz="0" w:space="0" w:color="auto"/>
            <w:bottom w:val="none" w:sz="0" w:space="0" w:color="auto"/>
            <w:right w:val="none" w:sz="0" w:space="0" w:color="auto"/>
          </w:divBdr>
        </w:div>
      </w:divsChild>
    </w:div>
    <w:div w:id="528033341">
      <w:bodyDiv w:val="1"/>
      <w:marLeft w:val="0"/>
      <w:marRight w:val="0"/>
      <w:marTop w:val="0"/>
      <w:marBottom w:val="0"/>
      <w:divBdr>
        <w:top w:val="none" w:sz="0" w:space="0" w:color="auto"/>
        <w:left w:val="none" w:sz="0" w:space="0" w:color="auto"/>
        <w:bottom w:val="none" w:sz="0" w:space="0" w:color="auto"/>
        <w:right w:val="none" w:sz="0" w:space="0" w:color="auto"/>
      </w:divBdr>
    </w:div>
    <w:div w:id="547957021">
      <w:bodyDiv w:val="1"/>
      <w:marLeft w:val="0"/>
      <w:marRight w:val="0"/>
      <w:marTop w:val="0"/>
      <w:marBottom w:val="0"/>
      <w:divBdr>
        <w:top w:val="none" w:sz="0" w:space="0" w:color="auto"/>
        <w:left w:val="none" w:sz="0" w:space="0" w:color="auto"/>
        <w:bottom w:val="none" w:sz="0" w:space="0" w:color="auto"/>
        <w:right w:val="none" w:sz="0" w:space="0" w:color="auto"/>
      </w:divBdr>
    </w:div>
    <w:div w:id="627978880">
      <w:bodyDiv w:val="1"/>
      <w:marLeft w:val="0"/>
      <w:marRight w:val="0"/>
      <w:marTop w:val="0"/>
      <w:marBottom w:val="0"/>
      <w:divBdr>
        <w:top w:val="none" w:sz="0" w:space="0" w:color="auto"/>
        <w:left w:val="none" w:sz="0" w:space="0" w:color="auto"/>
        <w:bottom w:val="none" w:sz="0" w:space="0" w:color="auto"/>
        <w:right w:val="none" w:sz="0" w:space="0" w:color="auto"/>
      </w:divBdr>
    </w:div>
    <w:div w:id="867447986">
      <w:bodyDiv w:val="1"/>
      <w:marLeft w:val="0"/>
      <w:marRight w:val="0"/>
      <w:marTop w:val="0"/>
      <w:marBottom w:val="0"/>
      <w:divBdr>
        <w:top w:val="none" w:sz="0" w:space="0" w:color="auto"/>
        <w:left w:val="none" w:sz="0" w:space="0" w:color="auto"/>
        <w:bottom w:val="none" w:sz="0" w:space="0" w:color="auto"/>
        <w:right w:val="none" w:sz="0" w:space="0" w:color="auto"/>
      </w:divBdr>
    </w:div>
    <w:div w:id="898978227">
      <w:bodyDiv w:val="1"/>
      <w:marLeft w:val="0"/>
      <w:marRight w:val="0"/>
      <w:marTop w:val="0"/>
      <w:marBottom w:val="0"/>
      <w:divBdr>
        <w:top w:val="none" w:sz="0" w:space="0" w:color="auto"/>
        <w:left w:val="none" w:sz="0" w:space="0" w:color="auto"/>
        <w:bottom w:val="none" w:sz="0" w:space="0" w:color="auto"/>
        <w:right w:val="none" w:sz="0" w:space="0" w:color="auto"/>
      </w:divBdr>
    </w:div>
    <w:div w:id="908803738">
      <w:bodyDiv w:val="1"/>
      <w:marLeft w:val="0"/>
      <w:marRight w:val="0"/>
      <w:marTop w:val="0"/>
      <w:marBottom w:val="0"/>
      <w:divBdr>
        <w:top w:val="none" w:sz="0" w:space="0" w:color="auto"/>
        <w:left w:val="none" w:sz="0" w:space="0" w:color="auto"/>
        <w:bottom w:val="none" w:sz="0" w:space="0" w:color="auto"/>
        <w:right w:val="none" w:sz="0" w:space="0" w:color="auto"/>
      </w:divBdr>
      <w:divsChild>
        <w:div w:id="1375811279">
          <w:marLeft w:val="120"/>
          <w:marRight w:val="120"/>
          <w:marTop w:val="120"/>
          <w:marBottom w:val="120"/>
          <w:divBdr>
            <w:top w:val="none" w:sz="0" w:space="0" w:color="auto"/>
            <w:left w:val="none" w:sz="0" w:space="0" w:color="auto"/>
            <w:bottom w:val="none" w:sz="0" w:space="0" w:color="auto"/>
            <w:right w:val="none" w:sz="0" w:space="0" w:color="auto"/>
          </w:divBdr>
        </w:div>
      </w:divsChild>
    </w:div>
    <w:div w:id="984092165">
      <w:bodyDiv w:val="1"/>
      <w:marLeft w:val="0"/>
      <w:marRight w:val="0"/>
      <w:marTop w:val="0"/>
      <w:marBottom w:val="0"/>
      <w:divBdr>
        <w:top w:val="none" w:sz="0" w:space="0" w:color="auto"/>
        <w:left w:val="none" w:sz="0" w:space="0" w:color="auto"/>
        <w:bottom w:val="none" w:sz="0" w:space="0" w:color="auto"/>
        <w:right w:val="none" w:sz="0" w:space="0" w:color="auto"/>
      </w:divBdr>
    </w:div>
    <w:div w:id="1233614010">
      <w:bodyDiv w:val="1"/>
      <w:marLeft w:val="0"/>
      <w:marRight w:val="0"/>
      <w:marTop w:val="0"/>
      <w:marBottom w:val="0"/>
      <w:divBdr>
        <w:top w:val="none" w:sz="0" w:space="0" w:color="auto"/>
        <w:left w:val="none" w:sz="0" w:space="0" w:color="auto"/>
        <w:bottom w:val="none" w:sz="0" w:space="0" w:color="auto"/>
        <w:right w:val="none" w:sz="0" w:space="0" w:color="auto"/>
      </w:divBdr>
    </w:div>
    <w:div w:id="1303004380">
      <w:bodyDiv w:val="1"/>
      <w:marLeft w:val="0"/>
      <w:marRight w:val="0"/>
      <w:marTop w:val="0"/>
      <w:marBottom w:val="0"/>
      <w:divBdr>
        <w:top w:val="none" w:sz="0" w:space="0" w:color="auto"/>
        <w:left w:val="none" w:sz="0" w:space="0" w:color="auto"/>
        <w:bottom w:val="none" w:sz="0" w:space="0" w:color="auto"/>
        <w:right w:val="none" w:sz="0" w:space="0" w:color="auto"/>
      </w:divBdr>
    </w:div>
    <w:div w:id="1341421453">
      <w:bodyDiv w:val="1"/>
      <w:marLeft w:val="0"/>
      <w:marRight w:val="0"/>
      <w:marTop w:val="0"/>
      <w:marBottom w:val="0"/>
      <w:divBdr>
        <w:top w:val="none" w:sz="0" w:space="0" w:color="auto"/>
        <w:left w:val="none" w:sz="0" w:space="0" w:color="auto"/>
        <w:bottom w:val="none" w:sz="0" w:space="0" w:color="auto"/>
        <w:right w:val="none" w:sz="0" w:space="0" w:color="auto"/>
      </w:divBdr>
    </w:div>
    <w:div w:id="1356420606">
      <w:bodyDiv w:val="1"/>
      <w:marLeft w:val="0"/>
      <w:marRight w:val="0"/>
      <w:marTop w:val="0"/>
      <w:marBottom w:val="0"/>
      <w:divBdr>
        <w:top w:val="none" w:sz="0" w:space="0" w:color="auto"/>
        <w:left w:val="none" w:sz="0" w:space="0" w:color="auto"/>
        <w:bottom w:val="none" w:sz="0" w:space="0" w:color="auto"/>
        <w:right w:val="none" w:sz="0" w:space="0" w:color="auto"/>
      </w:divBdr>
    </w:div>
    <w:div w:id="1573931347">
      <w:bodyDiv w:val="1"/>
      <w:marLeft w:val="0"/>
      <w:marRight w:val="0"/>
      <w:marTop w:val="0"/>
      <w:marBottom w:val="0"/>
      <w:divBdr>
        <w:top w:val="none" w:sz="0" w:space="0" w:color="auto"/>
        <w:left w:val="none" w:sz="0" w:space="0" w:color="auto"/>
        <w:bottom w:val="none" w:sz="0" w:space="0" w:color="auto"/>
        <w:right w:val="none" w:sz="0" w:space="0" w:color="auto"/>
      </w:divBdr>
    </w:div>
    <w:div w:id="1604142276">
      <w:bodyDiv w:val="1"/>
      <w:marLeft w:val="0"/>
      <w:marRight w:val="0"/>
      <w:marTop w:val="0"/>
      <w:marBottom w:val="0"/>
      <w:divBdr>
        <w:top w:val="none" w:sz="0" w:space="0" w:color="auto"/>
        <w:left w:val="none" w:sz="0" w:space="0" w:color="auto"/>
        <w:bottom w:val="none" w:sz="0" w:space="0" w:color="auto"/>
        <w:right w:val="none" w:sz="0" w:space="0" w:color="auto"/>
      </w:divBdr>
    </w:div>
    <w:div w:id="1681198460">
      <w:bodyDiv w:val="1"/>
      <w:marLeft w:val="0"/>
      <w:marRight w:val="0"/>
      <w:marTop w:val="0"/>
      <w:marBottom w:val="0"/>
      <w:divBdr>
        <w:top w:val="none" w:sz="0" w:space="0" w:color="auto"/>
        <w:left w:val="none" w:sz="0" w:space="0" w:color="auto"/>
        <w:bottom w:val="none" w:sz="0" w:space="0" w:color="auto"/>
        <w:right w:val="none" w:sz="0" w:space="0" w:color="auto"/>
      </w:divBdr>
    </w:div>
    <w:div w:id="1704204928">
      <w:bodyDiv w:val="1"/>
      <w:marLeft w:val="0"/>
      <w:marRight w:val="0"/>
      <w:marTop w:val="0"/>
      <w:marBottom w:val="0"/>
      <w:divBdr>
        <w:top w:val="none" w:sz="0" w:space="0" w:color="auto"/>
        <w:left w:val="none" w:sz="0" w:space="0" w:color="auto"/>
        <w:bottom w:val="none" w:sz="0" w:space="0" w:color="auto"/>
        <w:right w:val="none" w:sz="0" w:space="0" w:color="auto"/>
      </w:divBdr>
    </w:div>
    <w:div w:id="1774327054">
      <w:bodyDiv w:val="1"/>
      <w:marLeft w:val="0"/>
      <w:marRight w:val="0"/>
      <w:marTop w:val="0"/>
      <w:marBottom w:val="0"/>
      <w:divBdr>
        <w:top w:val="none" w:sz="0" w:space="0" w:color="auto"/>
        <w:left w:val="none" w:sz="0" w:space="0" w:color="auto"/>
        <w:bottom w:val="none" w:sz="0" w:space="0" w:color="auto"/>
        <w:right w:val="none" w:sz="0" w:space="0" w:color="auto"/>
      </w:divBdr>
    </w:div>
    <w:div w:id="1815439688">
      <w:bodyDiv w:val="1"/>
      <w:marLeft w:val="0"/>
      <w:marRight w:val="0"/>
      <w:marTop w:val="0"/>
      <w:marBottom w:val="0"/>
      <w:divBdr>
        <w:top w:val="none" w:sz="0" w:space="0" w:color="auto"/>
        <w:left w:val="none" w:sz="0" w:space="0" w:color="auto"/>
        <w:bottom w:val="none" w:sz="0" w:space="0" w:color="auto"/>
        <w:right w:val="none" w:sz="0" w:space="0" w:color="auto"/>
      </w:divBdr>
      <w:divsChild>
        <w:div w:id="1205751022">
          <w:marLeft w:val="120"/>
          <w:marRight w:val="120"/>
          <w:marTop w:val="120"/>
          <w:marBottom w:val="120"/>
          <w:divBdr>
            <w:top w:val="none" w:sz="0" w:space="0" w:color="auto"/>
            <w:left w:val="none" w:sz="0" w:space="0" w:color="auto"/>
            <w:bottom w:val="none" w:sz="0" w:space="0" w:color="auto"/>
            <w:right w:val="none" w:sz="0" w:space="0" w:color="auto"/>
          </w:divBdr>
        </w:div>
      </w:divsChild>
    </w:div>
    <w:div w:id="1841777698">
      <w:bodyDiv w:val="1"/>
      <w:marLeft w:val="0"/>
      <w:marRight w:val="0"/>
      <w:marTop w:val="0"/>
      <w:marBottom w:val="0"/>
      <w:divBdr>
        <w:top w:val="none" w:sz="0" w:space="0" w:color="auto"/>
        <w:left w:val="none" w:sz="0" w:space="0" w:color="auto"/>
        <w:bottom w:val="none" w:sz="0" w:space="0" w:color="auto"/>
        <w:right w:val="none" w:sz="0" w:space="0" w:color="auto"/>
      </w:divBdr>
    </w:div>
    <w:div w:id="1913810407">
      <w:bodyDiv w:val="1"/>
      <w:marLeft w:val="0"/>
      <w:marRight w:val="0"/>
      <w:marTop w:val="0"/>
      <w:marBottom w:val="0"/>
      <w:divBdr>
        <w:top w:val="none" w:sz="0" w:space="0" w:color="auto"/>
        <w:left w:val="none" w:sz="0" w:space="0" w:color="auto"/>
        <w:bottom w:val="none" w:sz="0" w:space="0" w:color="auto"/>
        <w:right w:val="none" w:sz="0" w:space="0" w:color="auto"/>
      </w:divBdr>
    </w:div>
    <w:div w:id="1921938294">
      <w:bodyDiv w:val="1"/>
      <w:marLeft w:val="0"/>
      <w:marRight w:val="0"/>
      <w:marTop w:val="0"/>
      <w:marBottom w:val="0"/>
      <w:divBdr>
        <w:top w:val="none" w:sz="0" w:space="0" w:color="auto"/>
        <w:left w:val="none" w:sz="0" w:space="0" w:color="auto"/>
        <w:bottom w:val="none" w:sz="0" w:space="0" w:color="auto"/>
        <w:right w:val="none" w:sz="0" w:space="0" w:color="auto"/>
      </w:divBdr>
    </w:div>
    <w:div w:id="20343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1866</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Wagner Feliciano da Silva</dc:creator>
  <cp:lastModifiedBy>Willian Cardoso de Almeida</cp:lastModifiedBy>
  <cp:revision>4</cp:revision>
  <cp:lastPrinted>2021-08-26T13:49:00Z</cp:lastPrinted>
  <dcterms:created xsi:type="dcterms:W3CDTF">2021-08-26T18:34:00Z</dcterms:created>
  <dcterms:modified xsi:type="dcterms:W3CDTF">2021-08-27T13:29:00Z</dcterms:modified>
</cp:coreProperties>
</file>