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401DF2">
        <w:rPr>
          <w:sz w:val="20"/>
          <w:szCs w:val="20"/>
        </w:rPr>
        <w:t>AERONAVEGABILIDADE</w:t>
      </w:r>
      <w:r w:rsidRPr="00DC4586">
        <w:rPr>
          <w:sz w:val="20"/>
          <w:szCs w:val="20"/>
        </w:rPr>
        <w:t xml:space="preserve"> – S</w:t>
      </w:r>
      <w:r w:rsidR="00401DF2">
        <w:rPr>
          <w:sz w:val="20"/>
          <w:szCs w:val="20"/>
        </w:rPr>
        <w:t>AR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Gerência Técnica de </w:t>
      </w:r>
      <w:r w:rsidR="00401DF2">
        <w:rPr>
          <w:sz w:val="20"/>
          <w:szCs w:val="20"/>
        </w:rPr>
        <w:t>Processo Normativo – GTPN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 xml:space="preserve">Setor Comercial Sul - Quadra 09 - Lote C - </w:t>
      </w:r>
      <w:r w:rsidR="00401DF2">
        <w:rPr>
          <w:sz w:val="20"/>
          <w:szCs w:val="20"/>
        </w:rPr>
        <w:t>6</w:t>
      </w:r>
      <w:r w:rsidRPr="00AD0703">
        <w:rPr>
          <w:sz w:val="20"/>
          <w:szCs w:val="20"/>
        </w:rPr>
        <w:t>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699"/>
      </w:tblGrid>
      <w:tr w:rsidR="00DC3D01" w:rsidTr="003B1AB5">
        <w:trPr>
          <w:trHeight w:val="352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7010B" w:rsidRDefault="00DC3D01" w:rsidP="003542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10B">
              <w:rPr>
                <w:rFonts w:ascii="Arial" w:hAnsi="Arial" w:cs="Arial"/>
                <w:b/>
              </w:rPr>
              <w:t>AUDIÊNCIA PÚBLICA</w:t>
            </w:r>
            <w:r w:rsidR="007A3E71" w:rsidRPr="0057010B">
              <w:rPr>
                <w:rFonts w:ascii="Arial" w:hAnsi="Arial" w:cs="Arial"/>
                <w:b/>
              </w:rPr>
              <w:t xml:space="preserve"> </w:t>
            </w:r>
            <w:r w:rsidR="00401DF2">
              <w:rPr>
                <w:rFonts w:ascii="Arial" w:hAnsi="Arial" w:cs="Arial"/>
                <w:b/>
              </w:rPr>
              <w:t xml:space="preserve">Nº </w:t>
            </w:r>
            <w:bookmarkStart w:id="0" w:name="_GoBack"/>
            <w:bookmarkEnd w:id="0"/>
            <w:r w:rsidR="003542A4">
              <w:rPr>
                <w:rFonts w:ascii="Arial" w:hAnsi="Arial" w:cs="Arial"/>
                <w:b/>
              </w:rPr>
              <w:t>21</w:t>
            </w:r>
            <w:r w:rsidR="00257BA8" w:rsidRPr="0057010B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902F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E23DF8" w:rsidRPr="00E23DF8">
              <w:rPr>
                <w:rFonts w:ascii="Arial" w:hAnsi="Arial" w:cs="Arial"/>
                <w:b/>
              </w:rPr>
              <w:t>00058.519658/2017-81</w:t>
            </w:r>
          </w:p>
        </w:tc>
      </w:tr>
      <w:tr w:rsidR="00DC3D01" w:rsidTr="003B1AB5">
        <w:trPr>
          <w:trHeight w:val="448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13D6E" w:rsidRDefault="00DC3D01" w:rsidP="00401DF2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AA482C">
              <w:rPr>
                <w:color w:val="000000"/>
              </w:rPr>
              <w:t>norma substitutiva à IAC 3151 que estabelece e normatiza os procedimentos para confecção, emissão e preenchimento dos Diários de Bordo das aeronaves civis brasileiras e norma que estabelece requisitos para a aceitação de sistemas digitais de informação como ferramenta oficial para registro, guarda e consulta de informações por regulados da ANAC.</w:t>
            </w:r>
          </w:p>
        </w:tc>
      </w:tr>
      <w:tr w:rsidR="00DC3D01" w:rsidRPr="000729F3" w:rsidTr="003B1AB5">
        <w:trPr>
          <w:trHeight w:val="381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3B1AB5">
        <w:trPr>
          <w:trHeight w:val="344"/>
        </w:trPr>
        <w:tc>
          <w:tcPr>
            <w:tcW w:w="9224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3B1AB5">
        <w:trPr>
          <w:trHeight w:val="344"/>
        </w:trPr>
        <w:tc>
          <w:tcPr>
            <w:tcW w:w="9224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3B1AB5">
        <w:trPr>
          <w:trHeight w:val="3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3B1AB5">
        <w:trPr>
          <w:trHeight w:val="40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3B1AB5">
        <w:trPr>
          <w:trHeight w:val="1389"/>
        </w:trPr>
        <w:tc>
          <w:tcPr>
            <w:tcW w:w="9224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3B1AB5">
        <w:trPr>
          <w:trHeight w:val="36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3B1AB5">
        <w:trPr>
          <w:trHeight w:val="1960"/>
        </w:trPr>
        <w:tc>
          <w:tcPr>
            <w:tcW w:w="9224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3B1AB5">
        <w:trPr>
          <w:trHeight w:val="31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B1AB5">
        <w:trPr>
          <w:trHeight w:val="2439"/>
        </w:trPr>
        <w:tc>
          <w:tcPr>
            <w:tcW w:w="9224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AA482C" w:rsidRPr="00595D66">
          <w:rPr>
            <w:rStyle w:val="Hyperlink"/>
          </w:rPr>
          <w:t>dbdigital@anac.gov.br</w:t>
        </w:r>
      </w:hyperlink>
      <w:hyperlink r:id="rId8" w:history="1"/>
    </w:p>
    <w:sectPr w:rsidR="00AA72D8" w:rsidRPr="00DC3D01" w:rsidSect="00B35A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71" w:rsidRDefault="00F84871" w:rsidP="00401AD0">
      <w:pPr>
        <w:spacing w:after="0" w:line="240" w:lineRule="auto"/>
      </w:pPr>
      <w:r>
        <w:separator/>
      </w:r>
    </w:p>
  </w:endnote>
  <w:end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71" w:rsidRDefault="00F84871" w:rsidP="00401AD0">
      <w:pPr>
        <w:spacing w:after="0" w:line="240" w:lineRule="auto"/>
      </w:pPr>
      <w:r>
        <w:separator/>
      </w:r>
    </w:p>
  </w:footnote>
  <w:footnote w:type="continuationSeparator" w:id="0">
    <w:p w:rsidR="00F84871" w:rsidRDefault="00F84871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B1AB5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57BA8"/>
    <w:rsid w:val="002859B7"/>
    <w:rsid w:val="002E0F28"/>
    <w:rsid w:val="00322B88"/>
    <w:rsid w:val="003542A4"/>
    <w:rsid w:val="00371AD2"/>
    <w:rsid w:val="0037713F"/>
    <w:rsid w:val="003B1AB5"/>
    <w:rsid w:val="003C1AB1"/>
    <w:rsid w:val="003C47D0"/>
    <w:rsid w:val="003D4749"/>
    <w:rsid w:val="003E09AE"/>
    <w:rsid w:val="003E2DAD"/>
    <w:rsid w:val="003F3D6D"/>
    <w:rsid w:val="00401AD0"/>
    <w:rsid w:val="00401DF2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7010B"/>
    <w:rsid w:val="005A1CA1"/>
    <w:rsid w:val="0068672B"/>
    <w:rsid w:val="0069274A"/>
    <w:rsid w:val="006A5285"/>
    <w:rsid w:val="006A59A5"/>
    <w:rsid w:val="006E326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02F3E"/>
    <w:rsid w:val="0093461D"/>
    <w:rsid w:val="009746A0"/>
    <w:rsid w:val="009C6E8B"/>
    <w:rsid w:val="00A02031"/>
    <w:rsid w:val="00A10468"/>
    <w:rsid w:val="00A202AA"/>
    <w:rsid w:val="00A91BAF"/>
    <w:rsid w:val="00AA482C"/>
    <w:rsid w:val="00AA72D8"/>
    <w:rsid w:val="00AD0703"/>
    <w:rsid w:val="00AD4D3F"/>
    <w:rsid w:val="00AD74E3"/>
    <w:rsid w:val="00B174C6"/>
    <w:rsid w:val="00B35AD6"/>
    <w:rsid w:val="00B50395"/>
    <w:rsid w:val="00B53021"/>
    <w:rsid w:val="00BC4C31"/>
    <w:rsid w:val="00BE68D5"/>
    <w:rsid w:val="00BF14D8"/>
    <w:rsid w:val="00C04652"/>
    <w:rsid w:val="00C44018"/>
    <w:rsid w:val="00C827C3"/>
    <w:rsid w:val="00CB04A6"/>
    <w:rsid w:val="00D142F9"/>
    <w:rsid w:val="00D41368"/>
    <w:rsid w:val="00D515D4"/>
    <w:rsid w:val="00D840C9"/>
    <w:rsid w:val="00DC3D01"/>
    <w:rsid w:val="00DD7B27"/>
    <w:rsid w:val="00DE11B9"/>
    <w:rsid w:val="00E23DF8"/>
    <w:rsid w:val="00E37E15"/>
    <w:rsid w:val="00E721FB"/>
    <w:rsid w:val="00F14B3B"/>
    <w:rsid w:val="00F50334"/>
    <w:rsid w:val="00F67878"/>
    <w:rsid w:val="00F8487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40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digital@ana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DDFF-DA1D-46F1-8FBD-8BE43A7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Indiara Linhares Alves</cp:lastModifiedBy>
  <cp:revision>3</cp:revision>
  <cp:lastPrinted>2011-04-07T22:23:00Z</cp:lastPrinted>
  <dcterms:created xsi:type="dcterms:W3CDTF">2017-09-29T14:56:00Z</dcterms:created>
  <dcterms:modified xsi:type="dcterms:W3CDTF">2017-10-05T15:03:00Z</dcterms:modified>
</cp:coreProperties>
</file>